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758A" w14:textId="263E43A5" w:rsidR="008E1BEC" w:rsidRPr="00516538" w:rsidRDefault="00C01C58" w:rsidP="00516538">
      <w:pPr>
        <w:pStyle w:val="Smallbodycopy"/>
      </w:pPr>
      <w:r>
        <w:t>March</w:t>
      </w:r>
      <w:r w:rsidR="00072660">
        <w:t xml:space="preserve"> </w:t>
      </w:r>
      <w:r w:rsidR="00A77DD0">
        <w:t>202</w:t>
      </w:r>
      <w:r>
        <w:t>3</w:t>
      </w:r>
    </w:p>
    <w:p w14:paraId="4554EF93" w14:textId="5B1CEBAF" w:rsidR="00A77DD0" w:rsidRDefault="004E33CF" w:rsidP="00545F6A">
      <w:pPr>
        <w:pStyle w:val="Smallbodycopy"/>
        <w:spacing w:before="360"/>
        <w:contextualSpacing w:val="0"/>
        <w:rPr>
          <w:rFonts w:asciiTheme="majorHAnsi" w:hAnsiTheme="majorHAnsi"/>
        </w:rPr>
      </w:pPr>
      <w:r>
        <w:rPr>
          <w:rFonts w:asciiTheme="majorHAnsi" w:hAnsiTheme="majorHAnsi"/>
          <w:sz w:val="36"/>
          <w:szCs w:val="22"/>
        </w:rPr>
        <w:t>Providing subsidence monitoring data</w:t>
      </w:r>
    </w:p>
    <w:p w14:paraId="30890BEB" w14:textId="77777777" w:rsidR="00545F6A" w:rsidRDefault="00545F6A" w:rsidP="00545F6A">
      <w:pPr>
        <w:pStyle w:val="Heading1"/>
      </w:pPr>
      <w:r>
        <w:t>About this form</w:t>
      </w:r>
    </w:p>
    <w:p w14:paraId="39E641A1" w14:textId="77777777" w:rsidR="004E33CF" w:rsidRPr="004E33CF" w:rsidRDefault="004E33CF" w:rsidP="004E33CF">
      <w:pPr>
        <w:pStyle w:val="Heading2NoLine"/>
        <w:rPr>
          <w:color w:val="22272B" w:themeColor="text1"/>
          <w:sz w:val="22"/>
        </w:rPr>
      </w:pPr>
      <w:r w:rsidRPr="004E33CF">
        <w:rPr>
          <w:color w:val="22272B" w:themeColor="text1"/>
          <w:sz w:val="22"/>
        </w:rPr>
        <w:t>This form is only required to be completed by the mine operator of an underground coal mine.</w:t>
      </w:r>
    </w:p>
    <w:p w14:paraId="0C71FC9F" w14:textId="78898385" w:rsidR="004E33CF" w:rsidRDefault="004E33CF" w:rsidP="004E33CF">
      <w:pPr>
        <w:pStyle w:val="BodyText"/>
      </w:pPr>
      <w:r w:rsidRPr="004E33CF">
        <w:t xml:space="preserve">Section 70(2)(d) of the Work Health and Safety (Mines and Petroleum Sites) Regulation 2022 requires the mine operator of an underground coal mine to provide all subsidence monitoring data to the </w:t>
      </w:r>
      <w:r>
        <w:t>Resources R</w:t>
      </w:r>
      <w:r w:rsidRPr="004E33CF">
        <w:t xml:space="preserve">egulator in the approved way and form and at the times required by the </w:t>
      </w:r>
      <w:r>
        <w:t>R</w:t>
      </w:r>
      <w:r w:rsidRPr="004E33CF">
        <w:t>egulator.</w:t>
      </w:r>
    </w:p>
    <w:p w14:paraId="68A03DB2" w14:textId="3EB0CE25" w:rsidR="002A1E81" w:rsidRDefault="004E33CF" w:rsidP="004E33CF">
      <w:pPr>
        <w:pStyle w:val="Heading2NoLine"/>
      </w:pPr>
      <w:r>
        <w:t>Types of subsidence monitoring data</w:t>
      </w:r>
    </w:p>
    <w:p w14:paraId="48D959BD" w14:textId="645B9DBB" w:rsidR="004E33CF" w:rsidRDefault="004E33CF" w:rsidP="004E33CF">
      <w:pPr>
        <w:pStyle w:val="BodyText"/>
      </w:pPr>
      <w:r>
        <w:t xml:space="preserve">You must submit the following types of subsidence monitoring data to the Regulator: </w:t>
      </w:r>
    </w:p>
    <w:p w14:paraId="5554955B" w14:textId="16EB790F" w:rsidR="004E33CF" w:rsidRDefault="004E33CF" w:rsidP="004E33CF">
      <w:pPr>
        <w:pStyle w:val="BodyText"/>
        <w:tabs>
          <w:tab w:val="clear" w:pos="567"/>
        </w:tabs>
        <w:ind w:left="812" w:hanging="812"/>
      </w:pPr>
      <w:r w:rsidRPr="004E33CF">
        <w:rPr>
          <w:b/>
          <w:bCs/>
        </w:rPr>
        <w:t>Type A:</w:t>
      </w:r>
      <w:r>
        <w:t xml:space="preserve"> All two dimensional and three-dimensional survey data from survey grids installed in relation to longwalls, shortwalls or miniwalls.  </w:t>
      </w:r>
    </w:p>
    <w:p w14:paraId="28F29AE7" w14:textId="628FFA95" w:rsidR="004E33CF" w:rsidRDefault="004E33CF" w:rsidP="004E33CF">
      <w:pPr>
        <w:pStyle w:val="BodyText"/>
      </w:pPr>
      <w:r w:rsidRPr="004E33CF">
        <w:rPr>
          <w:b/>
          <w:bCs/>
        </w:rPr>
        <w:t>Type B:</w:t>
      </w:r>
      <w:r>
        <w:t xml:space="preserve"> All other types of subsidence monitoring data. </w:t>
      </w:r>
    </w:p>
    <w:p w14:paraId="7E2D5765" w14:textId="77777777" w:rsidR="004E33CF" w:rsidRDefault="004E33CF" w:rsidP="004E33CF">
      <w:pPr>
        <w:pStyle w:val="Heading2NoLine"/>
      </w:pPr>
      <w:r>
        <w:t>When to submit the subsidence monitoring data</w:t>
      </w:r>
    </w:p>
    <w:p w14:paraId="1FE12434" w14:textId="1CB27D12" w:rsidR="004E33CF" w:rsidRDefault="004E33CF" w:rsidP="004E33CF">
      <w:pPr>
        <w:pStyle w:val="BodyText"/>
      </w:pPr>
      <w:r>
        <w:t>At a minimum, you must submit subsidence monitoring data to the Regulator at the following intervals:</w:t>
      </w:r>
    </w:p>
    <w:tbl>
      <w:tblPr>
        <w:tblStyle w:val="ListTable3-Accent2"/>
        <w:tblW w:w="9747" w:type="dxa"/>
        <w:tblLook w:val="04A0" w:firstRow="1" w:lastRow="0" w:firstColumn="1" w:lastColumn="0" w:noHBand="0" w:noVBand="1"/>
      </w:tblPr>
      <w:tblGrid>
        <w:gridCol w:w="534"/>
        <w:gridCol w:w="5528"/>
        <w:gridCol w:w="3685"/>
      </w:tblGrid>
      <w:tr w:rsidR="004E33CF" w14:paraId="33469999" w14:textId="77777777" w:rsidTr="004E33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4" w:type="dxa"/>
          </w:tcPr>
          <w:p w14:paraId="092F91D8" w14:textId="77777777" w:rsidR="004E33CF" w:rsidRPr="004E33CF" w:rsidRDefault="004E33CF" w:rsidP="007A2762">
            <w:pPr>
              <w:spacing w:before="60" w:after="60"/>
              <w:rPr>
                <w:rFonts w:asciiTheme="minorHAnsi" w:hAnsiTheme="minorHAnsi"/>
                <w:color w:val="auto"/>
                <w:lang w:val="en-US"/>
              </w:rPr>
            </w:pPr>
            <w:r w:rsidRPr="004E33CF">
              <w:rPr>
                <w:rFonts w:asciiTheme="minorHAnsi" w:hAnsiTheme="minorHAnsi"/>
                <w:color w:val="auto"/>
                <w:lang w:val="en-US"/>
              </w:rPr>
              <w:t>No</w:t>
            </w:r>
          </w:p>
        </w:tc>
        <w:tc>
          <w:tcPr>
            <w:tcW w:w="5528" w:type="dxa"/>
          </w:tcPr>
          <w:p w14:paraId="00FAB79B" w14:textId="77777777" w:rsidR="004E33CF" w:rsidRPr="004E33CF" w:rsidRDefault="004E33CF" w:rsidP="007A276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lang w:val="en-US"/>
              </w:rPr>
            </w:pPr>
            <w:r w:rsidRPr="004E33CF">
              <w:rPr>
                <w:rFonts w:asciiTheme="minorHAnsi" w:hAnsiTheme="minorHAnsi"/>
                <w:color w:val="auto"/>
                <w:lang w:val="en-US"/>
              </w:rPr>
              <w:t xml:space="preserve">Frequency at which the mine operator obtains subsidence monitoring data from monitoring activities </w:t>
            </w:r>
          </w:p>
        </w:tc>
        <w:tc>
          <w:tcPr>
            <w:tcW w:w="3685" w:type="dxa"/>
          </w:tcPr>
          <w:p w14:paraId="2D626843" w14:textId="11534294" w:rsidR="004E33CF" w:rsidRPr="004E33CF" w:rsidRDefault="004E33CF" w:rsidP="007A276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lang w:val="en-US"/>
              </w:rPr>
            </w:pPr>
            <w:r w:rsidRPr="004E33CF">
              <w:rPr>
                <w:rFonts w:asciiTheme="minorHAnsi" w:hAnsiTheme="minorHAnsi"/>
                <w:color w:val="auto"/>
                <w:lang w:val="en-US"/>
              </w:rPr>
              <w:t xml:space="preserve">When to submit the data to the </w:t>
            </w:r>
            <w:r>
              <w:rPr>
                <w:rFonts w:asciiTheme="minorHAnsi" w:hAnsiTheme="minorHAnsi"/>
                <w:color w:val="auto"/>
                <w:lang w:val="en-US"/>
              </w:rPr>
              <w:t>R</w:t>
            </w:r>
            <w:r w:rsidRPr="004E33CF">
              <w:rPr>
                <w:rFonts w:asciiTheme="minorHAnsi" w:hAnsiTheme="minorHAnsi"/>
                <w:color w:val="auto"/>
                <w:lang w:val="en-US"/>
              </w:rPr>
              <w:t>egulator</w:t>
            </w:r>
          </w:p>
        </w:tc>
      </w:tr>
      <w:tr w:rsidR="004E33CF" w14:paraId="278045CE" w14:textId="77777777" w:rsidTr="004E3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67F5DF5" w14:textId="77777777" w:rsidR="004E33CF" w:rsidRPr="004E33CF" w:rsidRDefault="004E33CF" w:rsidP="007A2762">
            <w:pPr>
              <w:spacing w:before="60" w:after="60"/>
              <w:rPr>
                <w:rFonts w:asciiTheme="minorHAnsi" w:hAnsiTheme="minorHAnsi"/>
                <w:b/>
                <w:color w:val="auto"/>
                <w:lang w:val="en-US"/>
              </w:rPr>
            </w:pPr>
            <w:r w:rsidRPr="004E33CF">
              <w:rPr>
                <w:rFonts w:asciiTheme="minorHAnsi" w:hAnsiTheme="minorHAnsi"/>
                <w:color w:val="auto"/>
                <w:lang w:val="en-US"/>
              </w:rPr>
              <w:t>1</w:t>
            </w:r>
          </w:p>
        </w:tc>
        <w:tc>
          <w:tcPr>
            <w:tcW w:w="5528" w:type="dxa"/>
          </w:tcPr>
          <w:p w14:paraId="4F445A41" w14:textId="77777777" w:rsidR="004E33CF" w:rsidRPr="004E33CF" w:rsidRDefault="004E33CF" w:rsidP="007A2762">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asciiTheme="minorHAnsi" w:hAnsiTheme="minorHAnsi"/>
                <w:lang w:val="en-US"/>
              </w:rPr>
            </w:pPr>
            <w:r w:rsidRPr="004E33CF">
              <w:rPr>
                <w:rFonts w:asciiTheme="minorHAnsi" w:hAnsiTheme="minorHAnsi"/>
                <w:lang w:val="en-US"/>
              </w:rPr>
              <w:t>Data obtained from monitoring activities conducted at or higher than a fortnightly frequency</w:t>
            </w:r>
          </w:p>
        </w:tc>
        <w:tc>
          <w:tcPr>
            <w:tcW w:w="3685" w:type="dxa"/>
          </w:tcPr>
          <w:p w14:paraId="0C475478" w14:textId="77777777" w:rsidR="004E33CF" w:rsidRPr="004E33CF" w:rsidRDefault="004E33CF" w:rsidP="007A276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lang w:val="en-US"/>
              </w:rPr>
            </w:pPr>
            <w:r w:rsidRPr="004E33CF">
              <w:rPr>
                <w:rFonts w:asciiTheme="minorHAnsi" w:hAnsiTheme="minorHAnsi"/>
                <w:color w:val="auto"/>
                <w:lang w:val="en-US"/>
              </w:rPr>
              <w:t xml:space="preserve">Within 2 business days of completion of each </w:t>
            </w:r>
            <w:r w:rsidRPr="004E33CF">
              <w:rPr>
                <w:rFonts w:asciiTheme="minorHAnsi" w:hAnsiTheme="minorHAnsi"/>
                <w:color w:val="auto"/>
                <w:lang w:eastAsia="en-AU"/>
              </w:rPr>
              <w:t>monitoring activity</w:t>
            </w:r>
            <w:r w:rsidRPr="004E33CF">
              <w:rPr>
                <w:rFonts w:asciiTheme="minorHAnsi" w:hAnsiTheme="minorHAnsi"/>
                <w:color w:val="auto"/>
                <w:lang w:val="en-US"/>
              </w:rPr>
              <w:t xml:space="preserve"> </w:t>
            </w:r>
          </w:p>
        </w:tc>
      </w:tr>
      <w:tr w:rsidR="004E33CF" w14:paraId="08DF7084" w14:textId="77777777" w:rsidTr="004E33CF">
        <w:tc>
          <w:tcPr>
            <w:cnfStyle w:val="001000000000" w:firstRow="0" w:lastRow="0" w:firstColumn="1" w:lastColumn="0" w:oddVBand="0" w:evenVBand="0" w:oddHBand="0" w:evenHBand="0" w:firstRowFirstColumn="0" w:firstRowLastColumn="0" w:lastRowFirstColumn="0" w:lastRowLastColumn="0"/>
            <w:tcW w:w="534" w:type="dxa"/>
          </w:tcPr>
          <w:p w14:paraId="7F02AAE0" w14:textId="77777777" w:rsidR="004E33CF" w:rsidRPr="004E33CF" w:rsidRDefault="004E33CF" w:rsidP="007A2762">
            <w:pPr>
              <w:spacing w:before="60" w:after="60"/>
              <w:rPr>
                <w:rFonts w:asciiTheme="minorHAnsi" w:hAnsiTheme="minorHAnsi"/>
                <w:b/>
                <w:color w:val="auto"/>
                <w:lang w:val="en-US"/>
              </w:rPr>
            </w:pPr>
            <w:r w:rsidRPr="004E33CF">
              <w:rPr>
                <w:rFonts w:asciiTheme="minorHAnsi" w:hAnsiTheme="minorHAnsi"/>
                <w:color w:val="auto"/>
                <w:lang w:val="en-US"/>
              </w:rPr>
              <w:t>2</w:t>
            </w:r>
          </w:p>
        </w:tc>
        <w:tc>
          <w:tcPr>
            <w:tcW w:w="5528" w:type="dxa"/>
          </w:tcPr>
          <w:p w14:paraId="246258AD" w14:textId="77777777" w:rsidR="004E33CF" w:rsidRPr="004E33CF" w:rsidRDefault="004E33CF" w:rsidP="007A276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lang w:val="en-US"/>
              </w:rPr>
            </w:pPr>
            <w:r w:rsidRPr="004E33CF">
              <w:rPr>
                <w:rFonts w:asciiTheme="minorHAnsi" w:hAnsiTheme="minorHAnsi"/>
                <w:color w:val="auto"/>
                <w:lang w:val="en-US"/>
              </w:rPr>
              <w:t>Data obtained from monitoring activities conducted less frequently than on a fortnightly basis</w:t>
            </w:r>
          </w:p>
        </w:tc>
        <w:tc>
          <w:tcPr>
            <w:tcW w:w="3685" w:type="dxa"/>
          </w:tcPr>
          <w:p w14:paraId="6BF09DB7" w14:textId="77777777" w:rsidR="004E33CF" w:rsidRPr="004E33CF" w:rsidRDefault="004E33CF" w:rsidP="007A276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lang w:val="en-US"/>
              </w:rPr>
            </w:pPr>
            <w:r w:rsidRPr="004E33CF">
              <w:rPr>
                <w:rFonts w:asciiTheme="minorHAnsi" w:hAnsiTheme="minorHAnsi"/>
                <w:color w:val="auto"/>
                <w:lang w:val="en-US"/>
              </w:rPr>
              <w:t xml:space="preserve">Within 10 business days of completion of each monitoring activity </w:t>
            </w:r>
          </w:p>
        </w:tc>
      </w:tr>
    </w:tbl>
    <w:p w14:paraId="047786D4" w14:textId="77777777" w:rsidR="004E33CF" w:rsidRDefault="004E33CF" w:rsidP="004E33CF">
      <w:pPr>
        <w:pStyle w:val="Heading2NoLine"/>
      </w:pPr>
      <w:r>
        <w:t xml:space="preserve">How to submit the subsidence monitoring data to the regulator </w:t>
      </w:r>
    </w:p>
    <w:p w14:paraId="787C1B19" w14:textId="77777777" w:rsidR="004E33CF" w:rsidRDefault="004E33CF" w:rsidP="004E33CF">
      <w:pPr>
        <w:pStyle w:val="Heading3"/>
      </w:pPr>
      <w:r>
        <w:t>Subsidence data portal (for Type A data)</w:t>
      </w:r>
    </w:p>
    <w:p w14:paraId="4C28951A" w14:textId="7EF6B16D" w:rsidR="004E33CF" w:rsidRDefault="004E33CF" w:rsidP="004E33CF">
      <w:pPr>
        <w:pStyle w:val="BodyText"/>
      </w:pPr>
      <w:r>
        <w:t xml:space="preserve">You must submit Type A data via the NSW Resources Regulator Data Submission Portal at </w:t>
      </w:r>
      <w:hyperlink r:id="rId11" w:history="1">
        <w:r w:rsidRPr="004E33CF">
          <w:rPr>
            <w:rStyle w:val="Hyperlink"/>
          </w:rPr>
          <w:t>https://ssims.resourcesregulator.nsw.gov.au</w:t>
        </w:r>
      </w:hyperlink>
      <w:r>
        <w:t xml:space="preserve">. You must complete all the required fields in the portal. As the information requested in this form is incorporated into the portal, you do not need to complete this form separately.  </w:t>
      </w:r>
    </w:p>
    <w:p w14:paraId="4BECEC92" w14:textId="0583053A" w:rsidR="004E33CF" w:rsidRDefault="004E33CF" w:rsidP="004E33CF">
      <w:pPr>
        <w:pStyle w:val="BodyText"/>
      </w:pPr>
      <w:r>
        <w:t xml:space="preserve">For guidance on using the portal, and to obtain password and username (for access to the portal), you should email </w:t>
      </w:r>
      <w:hyperlink r:id="rId12" w:history="1">
        <w:r w:rsidRPr="002B6A10">
          <w:rPr>
            <w:rStyle w:val="Hyperlink"/>
          </w:rPr>
          <w:t>subsidence.monitoring@regional.nsw.gov.au</w:t>
        </w:r>
      </w:hyperlink>
    </w:p>
    <w:p w14:paraId="5B3C8CFB" w14:textId="77777777" w:rsidR="004E33CF" w:rsidRDefault="004E33CF" w:rsidP="004E33CF">
      <w:pPr>
        <w:pStyle w:val="Heading3"/>
      </w:pPr>
      <w:r>
        <w:t>Email or file transfer (for Type B data)</w:t>
      </w:r>
    </w:p>
    <w:p w14:paraId="3CF96142" w14:textId="77777777" w:rsidR="004E33CF" w:rsidRDefault="004E33CF" w:rsidP="004E33CF">
      <w:pPr>
        <w:pStyle w:val="BodyText"/>
      </w:pPr>
      <w:r>
        <w:t>You must email subsidence.monitoring@regional.nsw.gov.au the following:</w:t>
      </w:r>
    </w:p>
    <w:p w14:paraId="46150648" w14:textId="008D9687" w:rsidR="004E33CF" w:rsidRDefault="004E33CF" w:rsidP="004E33CF">
      <w:pPr>
        <w:pStyle w:val="BodyText"/>
        <w:numPr>
          <w:ilvl w:val="0"/>
          <w:numId w:val="45"/>
        </w:numPr>
        <w:tabs>
          <w:tab w:val="clear" w:pos="567"/>
        </w:tabs>
      </w:pPr>
      <w:r>
        <w:t>A completed form; and</w:t>
      </w:r>
    </w:p>
    <w:p w14:paraId="2F9EC1D0" w14:textId="53CFB20F" w:rsidR="004E33CF" w:rsidRDefault="004E33CF" w:rsidP="004E33CF">
      <w:pPr>
        <w:pStyle w:val="BodyText"/>
        <w:numPr>
          <w:ilvl w:val="0"/>
          <w:numId w:val="45"/>
        </w:numPr>
        <w:tabs>
          <w:tab w:val="clear" w:pos="567"/>
        </w:tabs>
      </w:pPr>
      <w:r>
        <w:t xml:space="preserve">Type B data (if the total size of the files is less than 25MB); or  </w:t>
      </w:r>
    </w:p>
    <w:p w14:paraId="787E113D" w14:textId="4E92449E" w:rsidR="004E33CF" w:rsidRDefault="004E33CF" w:rsidP="004E33CF">
      <w:pPr>
        <w:pStyle w:val="BodyText"/>
        <w:numPr>
          <w:ilvl w:val="0"/>
          <w:numId w:val="45"/>
        </w:numPr>
        <w:tabs>
          <w:tab w:val="clear" w:pos="567"/>
        </w:tabs>
      </w:pPr>
      <w:r>
        <w:lastRenderedPageBreak/>
        <w:t xml:space="preserve">File transfer details to download the Type B data (if the total size of the files is more than 25MB): </w:t>
      </w:r>
    </w:p>
    <w:p w14:paraId="0FA92AEC" w14:textId="77777777" w:rsidR="004E33CF" w:rsidRDefault="004E33CF" w:rsidP="004E33CF">
      <w:pPr>
        <w:pStyle w:val="BodyText"/>
        <w:numPr>
          <w:ilvl w:val="0"/>
          <w:numId w:val="46"/>
        </w:numPr>
        <w:tabs>
          <w:tab w:val="clear" w:pos="567"/>
        </w:tabs>
        <w:ind w:left="1260" w:hanging="496"/>
      </w:pPr>
      <w:r>
        <w:t>the web link to the data file</w:t>
      </w:r>
    </w:p>
    <w:p w14:paraId="22AC00FE" w14:textId="77777777" w:rsidR="004E33CF" w:rsidRDefault="004E33CF" w:rsidP="004E33CF">
      <w:pPr>
        <w:pStyle w:val="BodyText"/>
        <w:numPr>
          <w:ilvl w:val="0"/>
          <w:numId w:val="46"/>
        </w:numPr>
        <w:tabs>
          <w:tab w:val="clear" w:pos="567"/>
        </w:tabs>
        <w:ind w:left="1260" w:hanging="496"/>
      </w:pPr>
      <w:r>
        <w:t>password</w:t>
      </w:r>
    </w:p>
    <w:p w14:paraId="1C70DA15" w14:textId="6C96D87E" w:rsidR="004E33CF" w:rsidRDefault="004E33CF" w:rsidP="004E33CF">
      <w:pPr>
        <w:pStyle w:val="BodyText"/>
        <w:numPr>
          <w:ilvl w:val="0"/>
          <w:numId w:val="46"/>
        </w:numPr>
        <w:tabs>
          <w:tab w:val="clear" w:pos="567"/>
        </w:tabs>
        <w:ind w:left="1260" w:hanging="496"/>
      </w:pPr>
      <w:r>
        <w:t>any other information that is relevant to the file transfer.</w:t>
      </w:r>
    </w:p>
    <w:p w14:paraId="4AE2E86F" w14:textId="4F8951D5" w:rsidR="004E33CF" w:rsidRDefault="004E33CF" w:rsidP="00C01C58">
      <w:pPr>
        <w:pStyle w:val="Heading2NoLine"/>
      </w:pPr>
      <w:r>
        <w:t>Details of the mine and mine operator</w:t>
      </w:r>
    </w:p>
    <w:tbl>
      <w:tblPr>
        <w:tblStyle w:val="ListTable4-Accent2"/>
        <w:tblW w:w="5000" w:type="pct"/>
        <w:tblLook w:val="0620" w:firstRow="1" w:lastRow="0" w:firstColumn="0" w:lastColumn="0" w:noHBand="1" w:noVBand="1"/>
        <w:tblDescription w:val="Contact details"/>
      </w:tblPr>
      <w:tblGrid>
        <w:gridCol w:w="2400"/>
        <w:gridCol w:w="7794"/>
      </w:tblGrid>
      <w:tr w:rsidR="00545F6A" w:rsidRPr="009F4CAD" w14:paraId="2A5DB8C8"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BC61D44" w14:textId="77777777" w:rsidR="00545F6A" w:rsidRPr="009F4CAD" w:rsidRDefault="00545F6A" w:rsidP="00DE2F13">
            <w:pPr>
              <w:pStyle w:val="Tableheader"/>
              <w:rPr>
                <w:rFonts w:asciiTheme="minorHAnsi" w:hAnsiTheme="minorHAnsi"/>
                <w:b/>
              </w:rPr>
            </w:pPr>
            <w:r w:rsidRPr="009F4CAD">
              <w:rPr>
                <w:rFonts w:asciiTheme="minorHAnsi" w:hAnsiTheme="minorHAnsi"/>
                <w:b/>
              </w:rPr>
              <w:t>Contact details</w:t>
            </w:r>
          </w:p>
        </w:tc>
      </w:tr>
      <w:tr w:rsidR="00545F6A" w:rsidRPr="009F4CAD" w14:paraId="4BFE6A17" w14:textId="77777777" w:rsidTr="00DE2F13">
        <w:tc>
          <w:tcPr>
            <w:tcW w:w="1177" w:type="pct"/>
          </w:tcPr>
          <w:p w14:paraId="6886ACE4" w14:textId="0FFA9F42" w:rsidR="00545F6A" w:rsidRPr="009F4CAD" w:rsidRDefault="00545F6A" w:rsidP="00DE2F13">
            <w:pPr>
              <w:pStyle w:val="Tabletext"/>
              <w:rPr>
                <w:rFonts w:asciiTheme="minorHAnsi" w:hAnsiTheme="minorHAnsi"/>
              </w:rPr>
            </w:pPr>
            <w:r>
              <w:rPr>
                <w:rFonts w:asciiTheme="minorHAnsi" w:hAnsiTheme="minorHAnsi"/>
              </w:rPr>
              <w:t>Name of mine</w:t>
            </w:r>
          </w:p>
        </w:tc>
        <w:tc>
          <w:tcPr>
            <w:tcW w:w="3823" w:type="pct"/>
          </w:tcPr>
          <w:p w14:paraId="11A397AC" w14:textId="77777777" w:rsidR="00545F6A" w:rsidRPr="009F4CAD" w:rsidRDefault="00545F6A"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545F6A" w:rsidRPr="009F4CAD" w14:paraId="35576DA9" w14:textId="77777777" w:rsidTr="00DE2F13">
        <w:tc>
          <w:tcPr>
            <w:tcW w:w="1177" w:type="pct"/>
          </w:tcPr>
          <w:p w14:paraId="7A38CE91" w14:textId="39D2F262" w:rsidR="00545F6A" w:rsidRPr="009F4CAD" w:rsidRDefault="00545F6A" w:rsidP="00DE2F13">
            <w:pPr>
              <w:pStyle w:val="Tabletext"/>
              <w:rPr>
                <w:rFonts w:asciiTheme="minorHAnsi" w:hAnsiTheme="minorHAnsi"/>
              </w:rPr>
            </w:pPr>
            <w:r>
              <w:rPr>
                <w:rFonts w:asciiTheme="minorHAnsi" w:hAnsiTheme="minorHAnsi"/>
              </w:rPr>
              <w:t>Site address</w:t>
            </w:r>
          </w:p>
        </w:tc>
        <w:tc>
          <w:tcPr>
            <w:tcW w:w="3823" w:type="pct"/>
          </w:tcPr>
          <w:p w14:paraId="70598530" w14:textId="77777777" w:rsidR="00545F6A" w:rsidRPr="009F4CAD" w:rsidRDefault="00545F6A"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4E33CF" w:rsidRPr="009F4CAD" w14:paraId="5F621C92" w14:textId="77777777" w:rsidTr="00DE2F13">
        <w:tc>
          <w:tcPr>
            <w:tcW w:w="1177" w:type="pct"/>
          </w:tcPr>
          <w:p w14:paraId="34F3A621" w14:textId="14E21D1D" w:rsidR="004E33CF" w:rsidRDefault="004E33CF" w:rsidP="00DE2F13">
            <w:pPr>
              <w:pStyle w:val="Tabletext"/>
              <w:rPr>
                <w:rFonts w:asciiTheme="minorHAnsi" w:hAnsiTheme="minorHAnsi"/>
              </w:rPr>
            </w:pPr>
            <w:r>
              <w:rPr>
                <w:rFonts w:asciiTheme="minorHAnsi" w:hAnsiTheme="minorHAnsi"/>
              </w:rPr>
              <w:t>Name of the mine operator</w:t>
            </w:r>
          </w:p>
        </w:tc>
        <w:tc>
          <w:tcPr>
            <w:tcW w:w="3823" w:type="pct"/>
          </w:tcPr>
          <w:p w14:paraId="0238FD82" w14:textId="20C7365F" w:rsidR="004E33CF" w:rsidRPr="009F4CAD" w:rsidRDefault="00C01C58" w:rsidP="00DE2F13">
            <w:pPr>
              <w:pStyle w:val="Tabletext"/>
              <w:rPr>
                <w:rFonts w:asciiTheme="minorHAnsi" w:hAnsiTheme="minorHAnsi"/>
              </w:rPr>
            </w:pPr>
            <w:r>
              <w:rPr>
                <w:rFonts w:asciiTheme="minorHAnsi" w:hAnsiTheme="minorHAnsi"/>
              </w:rPr>
              <w:fldChar w:fldCharType="begin">
                <w:ffData>
                  <w:name w:val="Text264"/>
                  <w:enabled/>
                  <w:calcOnExit w:val="0"/>
                  <w:textInput/>
                </w:ffData>
              </w:fldChar>
            </w:r>
            <w:bookmarkStart w:id="0" w:name="Text26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0"/>
          </w:p>
        </w:tc>
      </w:tr>
      <w:tr w:rsidR="004E33CF" w:rsidRPr="009F4CAD" w14:paraId="5B6741D0" w14:textId="77777777" w:rsidTr="00DE2F13">
        <w:tc>
          <w:tcPr>
            <w:tcW w:w="1177" w:type="pct"/>
          </w:tcPr>
          <w:p w14:paraId="28CB2798" w14:textId="03A61F7F" w:rsidR="004E33CF" w:rsidRDefault="004E33CF" w:rsidP="00DE2F13">
            <w:pPr>
              <w:pStyle w:val="Tabletext"/>
              <w:rPr>
                <w:rFonts w:asciiTheme="minorHAnsi" w:hAnsiTheme="minorHAnsi"/>
              </w:rPr>
            </w:pPr>
            <w:r>
              <w:rPr>
                <w:rFonts w:asciiTheme="minorHAnsi" w:hAnsiTheme="minorHAnsi"/>
              </w:rPr>
              <w:t>ACN if a company or ABN</w:t>
            </w:r>
          </w:p>
        </w:tc>
        <w:tc>
          <w:tcPr>
            <w:tcW w:w="3823" w:type="pct"/>
          </w:tcPr>
          <w:p w14:paraId="14BAC012" w14:textId="6475082D" w:rsidR="004E33CF" w:rsidRPr="009F4CAD" w:rsidRDefault="00C01C58" w:rsidP="00DE2F13">
            <w:pPr>
              <w:pStyle w:val="Tabletext"/>
              <w:rPr>
                <w:rFonts w:asciiTheme="minorHAnsi" w:hAnsiTheme="minorHAnsi"/>
              </w:rPr>
            </w:pPr>
            <w:r>
              <w:rPr>
                <w:rFonts w:asciiTheme="minorHAnsi" w:hAnsiTheme="minorHAnsi"/>
              </w:rPr>
              <w:fldChar w:fldCharType="begin">
                <w:ffData>
                  <w:name w:val="Text265"/>
                  <w:enabled/>
                  <w:calcOnExit w:val="0"/>
                  <w:textInput/>
                </w:ffData>
              </w:fldChar>
            </w:r>
            <w:bookmarkStart w:id="1" w:name="Text26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
          </w:p>
        </w:tc>
      </w:tr>
    </w:tbl>
    <w:p w14:paraId="22331067" w14:textId="1639BEDC" w:rsidR="00545F6A" w:rsidRDefault="004E33CF" w:rsidP="00545F6A">
      <w:pPr>
        <w:pStyle w:val="Heading2NoLine"/>
      </w:pPr>
      <w:r>
        <w:t>Subsidence monitoring information relating to the</w:t>
      </w:r>
      <w:r w:rsidR="00545F6A">
        <w:t xml:space="preserve"> mine</w:t>
      </w:r>
    </w:p>
    <w:tbl>
      <w:tblPr>
        <w:tblStyle w:val="ListTable4-Accent2"/>
        <w:tblW w:w="5000" w:type="pct"/>
        <w:tblLook w:val="0620" w:firstRow="1" w:lastRow="0" w:firstColumn="0" w:lastColumn="0" w:noHBand="1" w:noVBand="1"/>
        <w:tblDescription w:val="Contact details"/>
      </w:tblPr>
      <w:tblGrid>
        <w:gridCol w:w="2400"/>
        <w:gridCol w:w="7794"/>
      </w:tblGrid>
      <w:tr w:rsidR="00545F6A" w:rsidRPr="009F4CAD" w14:paraId="2BD5CDA5"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3A06880" w14:textId="1BBCF196" w:rsidR="00545F6A" w:rsidRPr="009F4CAD" w:rsidRDefault="004E33CF" w:rsidP="00DE2F13">
            <w:pPr>
              <w:pStyle w:val="Tableheader"/>
              <w:rPr>
                <w:rFonts w:asciiTheme="minorHAnsi" w:hAnsiTheme="minorHAnsi"/>
                <w:b/>
              </w:rPr>
            </w:pPr>
            <w:r>
              <w:rPr>
                <w:rFonts w:asciiTheme="minorHAnsi" w:hAnsiTheme="minorHAnsi"/>
                <w:b/>
              </w:rPr>
              <w:t>Describe the panels or areas to be mined (for example, longwall 6)</w:t>
            </w:r>
          </w:p>
        </w:tc>
      </w:tr>
      <w:tr w:rsidR="00545F6A" w:rsidRPr="009F4CAD" w14:paraId="1117FE01" w14:textId="77777777" w:rsidTr="00C56B81">
        <w:trPr>
          <w:trHeight w:val="3594"/>
        </w:trPr>
        <w:tc>
          <w:tcPr>
            <w:tcW w:w="1177" w:type="pct"/>
          </w:tcPr>
          <w:p w14:paraId="443EEFEF" w14:textId="373B54EE" w:rsidR="00545F6A" w:rsidRPr="009F4CAD" w:rsidRDefault="00C01C58" w:rsidP="00DE2F13">
            <w:pPr>
              <w:pStyle w:val="Tabletext"/>
              <w:rPr>
                <w:rFonts w:asciiTheme="minorHAnsi" w:hAnsiTheme="minorHAnsi"/>
              </w:rPr>
            </w:pPr>
            <w:r>
              <w:rPr>
                <w:rFonts w:asciiTheme="minorHAnsi" w:hAnsiTheme="minorHAnsi"/>
              </w:rPr>
              <w:fldChar w:fldCharType="begin">
                <w:ffData>
                  <w:name w:val="Text262"/>
                  <w:enabled/>
                  <w:calcOnExit w:val="0"/>
                  <w:textInput/>
                </w:ffData>
              </w:fldChar>
            </w:r>
            <w:bookmarkStart w:id="2" w:name="Text26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
          </w:p>
        </w:tc>
        <w:tc>
          <w:tcPr>
            <w:tcW w:w="3823" w:type="pct"/>
          </w:tcPr>
          <w:p w14:paraId="3D87781E" w14:textId="0943C89F" w:rsidR="00545F6A" w:rsidRPr="009F4CAD" w:rsidRDefault="00545F6A" w:rsidP="00DE2F13">
            <w:pPr>
              <w:pStyle w:val="Tabletext"/>
              <w:rPr>
                <w:rFonts w:asciiTheme="minorHAnsi" w:hAnsiTheme="minorHAnsi"/>
              </w:rPr>
            </w:pPr>
          </w:p>
        </w:tc>
      </w:tr>
    </w:tbl>
    <w:p w14:paraId="4D4500EE" w14:textId="77777777" w:rsidR="00545F6A" w:rsidRDefault="00545F6A" w:rsidP="00C01C58">
      <w:pPr>
        <w:pStyle w:val="BodyText"/>
      </w:pPr>
    </w:p>
    <w:tbl>
      <w:tblPr>
        <w:tblStyle w:val="ListTable4-Accent2"/>
        <w:tblW w:w="5000" w:type="pct"/>
        <w:tblLook w:val="0620" w:firstRow="1" w:lastRow="0" w:firstColumn="0" w:lastColumn="0" w:noHBand="1" w:noVBand="1"/>
        <w:tblDescription w:val="Contact details"/>
      </w:tblPr>
      <w:tblGrid>
        <w:gridCol w:w="2400"/>
        <w:gridCol w:w="7794"/>
      </w:tblGrid>
      <w:tr w:rsidR="00C01C58" w:rsidRPr="009F4CAD" w14:paraId="26C1F083" w14:textId="77777777" w:rsidTr="007A276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5CD79AF" w14:textId="5C7AF483" w:rsidR="00C01C58" w:rsidRPr="009F4CAD" w:rsidRDefault="00C01C58" w:rsidP="007A2762">
            <w:pPr>
              <w:pStyle w:val="Tableheader"/>
              <w:rPr>
                <w:rFonts w:asciiTheme="minorHAnsi" w:hAnsiTheme="minorHAnsi"/>
                <w:b/>
              </w:rPr>
            </w:pPr>
            <w:r>
              <w:rPr>
                <w:rFonts w:asciiTheme="minorHAnsi" w:hAnsiTheme="minorHAnsi"/>
                <w:b/>
              </w:rPr>
              <w:t>Describe the void length or extent of extraction at the time of subsidence monitoring</w:t>
            </w:r>
          </w:p>
        </w:tc>
      </w:tr>
      <w:tr w:rsidR="00C01C58" w:rsidRPr="009F4CAD" w14:paraId="79D04522" w14:textId="77777777" w:rsidTr="00C56B81">
        <w:trPr>
          <w:trHeight w:val="3609"/>
        </w:trPr>
        <w:tc>
          <w:tcPr>
            <w:tcW w:w="1177" w:type="pct"/>
          </w:tcPr>
          <w:p w14:paraId="7934A56E" w14:textId="38F76EEB" w:rsidR="00C01C58" w:rsidRPr="009F4CAD" w:rsidRDefault="00C01C58" w:rsidP="007A2762">
            <w:pPr>
              <w:pStyle w:val="Tabletext"/>
              <w:rPr>
                <w:rFonts w:asciiTheme="minorHAnsi" w:hAnsiTheme="minorHAnsi"/>
              </w:rPr>
            </w:pPr>
            <w:r>
              <w:rPr>
                <w:rFonts w:asciiTheme="minorHAnsi" w:hAnsiTheme="minorHAnsi"/>
              </w:rPr>
              <w:fldChar w:fldCharType="begin">
                <w:ffData>
                  <w:name w:val="Text263"/>
                  <w:enabled/>
                  <w:calcOnExit w:val="0"/>
                  <w:textInput/>
                </w:ffData>
              </w:fldChar>
            </w:r>
            <w:bookmarkStart w:id="3" w:name="Text26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
          </w:p>
        </w:tc>
        <w:tc>
          <w:tcPr>
            <w:tcW w:w="3823" w:type="pct"/>
          </w:tcPr>
          <w:p w14:paraId="73BB76FA" w14:textId="08743A1B" w:rsidR="00C01C58" w:rsidRPr="009F4CAD" w:rsidRDefault="00C01C58" w:rsidP="007A2762">
            <w:pPr>
              <w:pStyle w:val="Tabletext"/>
              <w:rPr>
                <w:rFonts w:asciiTheme="minorHAnsi" w:hAnsiTheme="minorHAnsi"/>
              </w:rPr>
            </w:pPr>
          </w:p>
        </w:tc>
      </w:tr>
    </w:tbl>
    <w:p w14:paraId="7080F66D" w14:textId="631A88C2" w:rsidR="00781CDF" w:rsidRDefault="00952430" w:rsidP="00952430">
      <w:pPr>
        <w:pStyle w:val="Heading2NoLine"/>
      </w:pPr>
      <w:r>
        <w:lastRenderedPageBreak/>
        <w:t>Declaration</w:t>
      </w:r>
    </w:p>
    <w:p w14:paraId="310F8FB2" w14:textId="77777777" w:rsidR="00952430" w:rsidRDefault="00952430" w:rsidP="00952430">
      <w:pPr>
        <w:pStyle w:val="BodyText"/>
      </w:pPr>
      <w:r>
        <w:t>I declare that:</w:t>
      </w:r>
    </w:p>
    <w:p w14:paraId="3D085F34" w14:textId="6C0A1B05" w:rsidR="00952430" w:rsidRDefault="00952430" w:rsidP="00952430">
      <w:pPr>
        <w:pStyle w:val="ListBullet"/>
      </w:pPr>
      <w:r>
        <w:t>I have authority from the mine operator to complete and submit this form on their behalf, and</w:t>
      </w:r>
    </w:p>
    <w:p w14:paraId="0539346F" w14:textId="63A1FBA7" w:rsidR="00952430" w:rsidRDefault="00952430" w:rsidP="00952430">
      <w:pPr>
        <w:pStyle w:val="ListBullet"/>
      </w:pPr>
      <w:r>
        <w:t>to the best of my knowledge, the information provided in this form, and any attachment to this form, is true and correct in every detail,</w:t>
      </w:r>
    </w:p>
    <w:p w14:paraId="7E9D3CB8" w14:textId="31FAE236" w:rsidR="00952430" w:rsidRDefault="00952430" w:rsidP="00952430">
      <w:pPr>
        <w:pStyle w:val="ListBullet"/>
      </w:pPr>
      <w:r>
        <w:t>I consent to the NSW Resources Regulator making enquiries and exchanging information with parties mentioned in this notification to verify the accuracy of the information.</w:t>
      </w:r>
    </w:p>
    <w:p w14:paraId="0BFD6421" w14:textId="712F5A19" w:rsidR="00952430" w:rsidRPr="00952430" w:rsidRDefault="00952430" w:rsidP="00952430">
      <w:pPr>
        <w:pStyle w:val="BodyText"/>
        <w:rPr>
          <w:sz w:val="18"/>
          <w:szCs w:val="18"/>
        </w:rPr>
      </w:pPr>
      <w:r w:rsidRPr="00952430">
        <w:rPr>
          <w:b/>
          <w:bCs/>
          <w:sz w:val="18"/>
          <w:szCs w:val="18"/>
        </w:rPr>
        <w:t>Note:</w:t>
      </w:r>
      <w:r w:rsidRPr="00952430">
        <w:rPr>
          <w:sz w:val="18"/>
          <w:szCs w:val="18"/>
        </w:rPr>
        <w:t xml:space="preserve"> Giving false or misleading information is a serious offence under section 268 of </w:t>
      </w:r>
      <w:r w:rsidRPr="00952430">
        <w:rPr>
          <w:i/>
          <w:iCs/>
          <w:sz w:val="18"/>
          <w:szCs w:val="18"/>
        </w:rPr>
        <w:t>the Work Health and Safety Act 2011</w:t>
      </w:r>
      <w:r w:rsidRPr="00952430">
        <w:rPr>
          <w:sz w:val="18"/>
          <w:szCs w:val="18"/>
        </w:rPr>
        <w:t xml:space="preserve">, and Part 5A of the </w:t>
      </w:r>
      <w:r w:rsidRPr="00952430">
        <w:rPr>
          <w:i/>
          <w:iCs/>
          <w:sz w:val="18"/>
          <w:szCs w:val="18"/>
        </w:rPr>
        <w:t>Crimes Act 1900</w:t>
      </w:r>
      <w:r w:rsidRPr="00952430">
        <w:rPr>
          <w:sz w:val="18"/>
          <w:szCs w:val="18"/>
        </w:rPr>
        <w:t>.</w:t>
      </w:r>
    </w:p>
    <w:tbl>
      <w:tblPr>
        <w:tblStyle w:val="ListTable4-Accent2"/>
        <w:tblW w:w="0" w:type="auto"/>
        <w:tblLook w:val="0620" w:firstRow="1" w:lastRow="0" w:firstColumn="0" w:lastColumn="0" w:noHBand="1" w:noVBand="1"/>
        <w:tblDescription w:val="1st Transferee/s details"/>
      </w:tblPr>
      <w:tblGrid>
        <w:gridCol w:w="2552"/>
        <w:gridCol w:w="2262"/>
        <w:gridCol w:w="2407"/>
        <w:gridCol w:w="2407"/>
      </w:tblGrid>
      <w:tr w:rsidR="00952430" w:rsidRPr="009F4CAD" w14:paraId="0963BAE7" w14:textId="77777777" w:rsidTr="00DE2F13">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5ADA7267" w14:textId="4FB0D785" w:rsidR="00952430" w:rsidRPr="009F4CAD" w:rsidRDefault="00952430" w:rsidP="00DE2F13">
            <w:pPr>
              <w:tabs>
                <w:tab w:val="left" w:pos="709"/>
              </w:tabs>
              <w:suppressAutoHyphens w:val="0"/>
              <w:spacing w:before="4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Declaration</w:t>
            </w:r>
          </w:p>
        </w:tc>
      </w:tr>
      <w:tr w:rsidR="00952430" w:rsidRPr="009F4CAD" w14:paraId="10F94093" w14:textId="77777777" w:rsidTr="00DE2F13">
        <w:tc>
          <w:tcPr>
            <w:tcW w:w="2552" w:type="dxa"/>
          </w:tcPr>
          <w:p w14:paraId="5205EF75" w14:textId="253D694A" w:rsidR="00952430" w:rsidRPr="009F4CAD" w:rsidRDefault="00952430" w:rsidP="00DE2F13">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t>Name</w:t>
            </w:r>
            <w:r w:rsidR="00C01C58">
              <w:rPr>
                <w:rFonts w:asciiTheme="minorHAnsi" w:hAnsiTheme="minorHAnsi" w:cs="Times New Roman"/>
                <w:color w:val="auto"/>
                <w:lang w:eastAsia="en-US"/>
              </w:rPr>
              <w:t xml:space="preserve"> of authorised person</w:t>
            </w:r>
          </w:p>
        </w:tc>
        <w:tc>
          <w:tcPr>
            <w:tcW w:w="7076" w:type="dxa"/>
            <w:gridSpan w:val="3"/>
          </w:tcPr>
          <w:p w14:paraId="48C0368B" w14:textId="77777777" w:rsidR="00952430" w:rsidRPr="009F4CAD" w:rsidRDefault="00952430" w:rsidP="00DE2F13">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952430" w:rsidRPr="009F4CAD" w14:paraId="17258479" w14:textId="77777777" w:rsidTr="00DE2F13">
        <w:tc>
          <w:tcPr>
            <w:tcW w:w="2552" w:type="dxa"/>
          </w:tcPr>
          <w:p w14:paraId="7EAE25F9" w14:textId="02471C34" w:rsidR="00952430" w:rsidRPr="009F4CAD" w:rsidRDefault="00952430" w:rsidP="00DE2F1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Position/title</w:t>
            </w:r>
          </w:p>
        </w:tc>
        <w:tc>
          <w:tcPr>
            <w:tcW w:w="7076" w:type="dxa"/>
            <w:gridSpan w:val="3"/>
          </w:tcPr>
          <w:p w14:paraId="79F3C04F" w14:textId="77777777" w:rsidR="00952430" w:rsidRPr="009F4CAD" w:rsidRDefault="00952430" w:rsidP="00DE2F13">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C01C58" w:rsidRPr="009F4CAD" w14:paraId="1F23FE20" w14:textId="77777777" w:rsidTr="00C01C58">
        <w:tc>
          <w:tcPr>
            <w:tcW w:w="2552" w:type="dxa"/>
          </w:tcPr>
          <w:p w14:paraId="1DFECAF5" w14:textId="77777777" w:rsidR="00C01C58" w:rsidRPr="009F4CAD" w:rsidRDefault="00C01C58" w:rsidP="00DE2F1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Contact telephone</w:t>
            </w:r>
          </w:p>
        </w:tc>
        <w:tc>
          <w:tcPr>
            <w:tcW w:w="2262" w:type="dxa"/>
          </w:tcPr>
          <w:p w14:paraId="18441903" w14:textId="5CD622B8" w:rsidR="00C01C58" w:rsidRPr="009F4CAD" w:rsidRDefault="00C01C58" w:rsidP="00DE2F13">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c>
          <w:tcPr>
            <w:tcW w:w="2407" w:type="dxa"/>
          </w:tcPr>
          <w:p w14:paraId="0780374C" w14:textId="119AAFFE" w:rsidR="00C01C58" w:rsidRPr="009F4CAD" w:rsidRDefault="00C01C58" w:rsidP="00DE2F1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Mobile </w:t>
            </w: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c>
          <w:tcPr>
            <w:tcW w:w="2407" w:type="dxa"/>
          </w:tcPr>
          <w:p w14:paraId="6472B203" w14:textId="21B783B2" w:rsidR="00C01C58" w:rsidRPr="009F4CAD" w:rsidRDefault="00C01C58" w:rsidP="00DE2F13">
            <w:pPr>
              <w:suppressAutoHyphens w:val="0"/>
              <w:spacing w:before="60" w:after="60"/>
              <w:rPr>
                <w:rFonts w:asciiTheme="minorHAnsi" w:hAnsiTheme="minorHAnsi" w:cs="Times New Roman"/>
                <w:color w:val="auto"/>
                <w:lang w:eastAsia="en-US"/>
              </w:rPr>
            </w:pPr>
          </w:p>
        </w:tc>
      </w:tr>
      <w:tr w:rsidR="00952430" w:rsidRPr="009F4CAD" w14:paraId="759311B6" w14:textId="77777777" w:rsidTr="00DE2F13">
        <w:tc>
          <w:tcPr>
            <w:tcW w:w="2552" w:type="dxa"/>
          </w:tcPr>
          <w:p w14:paraId="42D8CDB8" w14:textId="571533FB" w:rsidR="00952430" w:rsidRPr="009F4CAD" w:rsidRDefault="00952430" w:rsidP="00DE2F1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Signature</w:t>
            </w:r>
          </w:p>
        </w:tc>
        <w:sdt>
          <w:sdtPr>
            <w:rPr>
              <w:rFonts w:asciiTheme="minorHAnsi" w:hAnsiTheme="minorHAnsi" w:cs="Times New Roman"/>
              <w:color w:val="auto"/>
              <w:lang w:eastAsia="en-US"/>
            </w:rPr>
            <w:id w:val="481123791"/>
            <w:showingPlcHdr/>
            <w:picture/>
          </w:sdtPr>
          <w:sdtEndPr/>
          <w:sdtContent>
            <w:tc>
              <w:tcPr>
                <w:tcW w:w="7076" w:type="dxa"/>
                <w:gridSpan w:val="3"/>
              </w:tcPr>
              <w:p w14:paraId="1258D93F" w14:textId="67507B2C" w:rsidR="00952430" w:rsidRPr="009F4CAD" w:rsidRDefault="00C01C58" w:rsidP="00DE2F13">
                <w:pPr>
                  <w:suppressAutoHyphens w:val="0"/>
                  <w:spacing w:before="60" w:after="60"/>
                  <w:rPr>
                    <w:rFonts w:asciiTheme="minorHAnsi" w:hAnsiTheme="minorHAnsi" w:cs="Times New Roman"/>
                    <w:color w:val="auto"/>
                    <w:lang w:eastAsia="en-US"/>
                  </w:rPr>
                </w:pPr>
                <w:r>
                  <w:rPr>
                    <w:rFonts w:asciiTheme="minorHAnsi" w:hAnsiTheme="minorHAnsi" w:cs="Times New Roman"/>
                    <w:noProof/>
                    <w:color w:val="auto"/>
                    <w:lang w:eastAsia="en-US"/>
                  </w:rPr>
                  <w:drawing>
                    <wp:inline distT="0" distB="0" distL="0" distR="0" wp14:anchorId="62A6221A" wp14:editId="2C385C90">
                      <wp:extent cx="4309110" cy="667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1645" cy="672952"/>
                              </a:xfrm>
                              <a:prstGeom prst="rect">
                                <a:avLst/>
                              </a:prstGeom>
                              <a:noFill/>
                              <a:ln>
                                <a:noFill/>
                              </a:ln>
                            </pic:spPr>
                          </pic:pic>
                        </a:graphicData>
                      </a:graphic>
                    </wp:inline>
                  </w:drawing>
                </w:r>
              </w:p>
            </w:tc>
          </w:sdtContent>
        </w:sdt>
      </w:tr>
      <w:tr w:rsidR="00952430" w:rsidRPr="009F4CAD" w14:paraId="2CE25CE6" w14:textId="77777777" w:rsidTr="00FF419F">
        <w:trPr>
          <w:trHeight w:val="347"/>
        </w:trPr>
        <w:tc>
          <w:tcPr>
            <w:tcW w:w="2552" w:type="dxa"/>
          </w:tcPr>
          <w:p w14:paraId="261B6C6E" w14:textId="7E626149" w:rsidR="00952430" w:rsidRPr="009F4CAD" w:rsidRDefault="00952430" w:rsidP="00DE2F1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w:t>
            </w:r>
          </w:p>
        </w:tc>
        <w:tc>
          <w:tcPr>
            <w:tcW w:w="7076" w:type="dxa"/>
            <w:gridSpan w:val="3"/>
          </w:tcPr>
          <w:p w14:paraId="2A3E2371" w14:textId="41057751" w:rsidR="00952430" w:rsidRPr="009F4CAD" w:rsidRDefault="00952430" w:rsidP="00DE2F1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61"/>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bl>
    <w:p w14:paraId="1342F9F6" w14:textId="1C18F28D" w:rsidR="00781CDF" w:rsidRDefault="00952430" w:rsidP="00545F6A">
      <w:pPr>
        <w:pStyle w:val="Heading2NoLine"/>
      </w:pPr>
      <w:r>
        <w:t>Submitting the form</w:t>
      </w:r>
    </w:p>
    <w:p w14:paraId="041DBA35" w14:textId="6E05FC27" w:rsidR="00952430" w:rsidRDefault="00C01C58" w:rsidP="00952430">
      <w:pPr>
        <w:pStyle w:val="BodyText"/>
      </w:pPr>
      <w:r w:rsidRPr="00C01C58">
        <w:t xml:space="preserve">You must email a completed form to </w:t>
      </w:r>
      <w:hyperlink r:id="rId14" w:history="1">
        <w:r w:rsidRPr="002B6A10">
          <w:rPr>
            <w:rStyle w:val="Hyperlink"/>
          </w:rPr>
          <w:t>subsidence.monitoring@regional.nsw.gov.au</w:t>
        </w:r>
      </w:hyperlink>
      <w:r>
        <w:t xml:space="preserve"> </w:t>
      </w:r>
      <w:r w:rsidRPr="00C01C58">
        <w:t>together with the relevant data or file transfer details. For guidance, refer to How to submit the subsidence monitoring data.</w:t>
      </w:r>
    </w:p>
    <w:p w14:paraId="34BA4AF2" w14:textId="6A99DBE2" w:rsidR="00952430" w:rsidRDefault="00952430" w:rsidP="00952430">
      <w:pPr>
        <w:pStyle w:val="Footnote"/>
        <w:rPr>
          <w:color w:val="808080" w:themeColor="background1" w:themeShade="80"/>
        </w:rPr>
      </w:pPr>
      <w:r w:rsidRPr="00604A6E">
        <w:rPr>
          <w:color w:val="808080" w:themeColor="background1" w:themeShade="80"/>
        </w:rPr>
        <w:t xml:space="preserve">© State of New South Wales through Regional NSW </w:t>
      </w:r>
      <w:r>
        <w:t>202</w:t>
      </w:r>
      <w:r w:rsidR="00C01C58">
        <w:t>3</w:t>
      </w:r>
      <w:r>
        <w:rPr>
          <w:color w:val="808080" w:themeColor="background1" w:themeShade="80"/>
        </w:rPr>
        <w:t>.</w:t>
      </w:r>
      <w:r w:rsidRPr="00604A6E">
        <w:rPr>
          <w:color w:val="808080" w:themeColor="background1" w:themeShade="80"/>
        </w:rPr>
        <w:t xml:space="preserve"> The information contained in this publication is based on knowledge and understanding at the time of writing </w:t>
      </w:r>
      <w:r w:rsidR="00C01C58">
        <w:t>January</w:t>
      </w:r>
      <w:r>
        <w:t xml:space="preserve"> 202</w:t>
      </w:r>
      <w:r w:rsidR="00C01C58">
        <w:t>3</w:t>
      </w:r>
      <w:r w:rsidRPr="00604A6E">
        <w:rPr>
          <w:color w:val="808080" w:themeColor="background1" w:themeShade="80"/>
        </w:rPr>
        <w:t>. However, because of advances in knowledge, users are reminded of the need to ensure that the information upon which they rely is up to date and to check the currency of the information with the appropriate officer of the Regional NSW or the user’s independent adviser.</w:t>
      </w:r>
    </w:p>
    <w:sectPr w:rsidR="00952430" w:rsidSect="009F4CAD">
      <w:headerReference w:type="default" r:id="rId15"/>
      <w:footerReference w:type="default" r:id="rId16"/>
      <w:headerReference w:type="first" r:id="rId17"/>
      <w:footerReference w:type="first" r:id="rId18"/>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2E16" w14:textId="77777777" w:rsidR="00224CE1" w:rsidRDefault="00224CE1" w:rsidP="00921FD3">
      <w:r>
        <w:separator/>
      </w:r>
    </w:p>
  </w:endnote>
  <w:endnote w:type="continuationSeparator" w:id="0">
    <w:p w14:paraId="36919496" w14:textId="77777777" w:rsidR="00224CE1" w:rsidRDefault="00224CE1"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8FE3"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00C64E3E" wp14:editId="52B44696">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7265E"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38D4B5F5" w14:textId="0E04218B" w:rsidR="00A77DD0" w:rsidRPr="0004413C" w:rsidRDefault="00A77DD0" w:rsidP="00E40F82">
    <w:pPr>
      <w:pStyle w:val="Footer"/>
    </w:pPr>
    <w:r>
      <w:t>RDOC2</w:t>
    </w:r>
    <w:r w:rsidR="00C56B81">
      <w:t>3/51309</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9D5E"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186D8501" wp14:editId="3C9444C4">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6B8172"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0B9AE07D" w14:textId="77777777" w:rsidR="00A77DD0" w:rsidRPr="00271104" w:rsidRDefault="00A77DD0" w:rsidP="00271104">
    <w:pPr>
      <w:pStyle w:val="Footer"/>
    </w:pPr>
    <w:r>
      <w:t xml:space="preserve">RDOC22/MMMMM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3F66" w14:textId="77777777" w:rsidR="00224CE1" w:rsidRDefault="00224CE1" w:rsidP="00921FD3">
      <w:r>
        <w:separator/>
      </w:r>
    </w:p>
  </w:footnote>
  <w:footnote w:type="continuationSeparator" w:id="0">
    <w:p w14:paraId="367228A1" w14:textId="77777777" w:rsidR="00224CE1" w:rsidRDefault="00224CE1"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347D" w14:textId="7259362E" w:rsidR="00A77DD0" w:rsidRDefault="00224CE1" w:rsidP="003F6063">
    <w:pPr>
      <w:pStyle w:val="Header"/>
    </w:pPr>
    <w:sdt>
      <w:sdtPr>
        <w:alias w:val="Document Title"/>
        <w:tag w:val="Document Title"/>
        <w:id w:val="16059501"/>
        <w:dataBinding w:xpath="/root[1]/DocTitle[1]" w:storeItemID="{180FEE2B-92DD-4DDF-8CD2-B2B446081537}"/>
        <w:text/>
      </w:sdtPr>
      <w:sdtEndPr/>
      <w:sdtContent>
        <w:r w:rsidR="00C01C58">
          <w:t>Providing subsidence monitoring data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7F07" w14:textId="77777777" w:rsidR="00A77DD0" w:rsidRDefault="00A77DD0" w:rsidP="00254690">
    <w:pPr>
      <w:pStyle w:val="Header"/>
    </w:pPr>
    <w:r>
      <mc:AlternateContent>
        <mc:Choice Requires="wps">
          <w:drawing>
            <wp:anchor distT="0" distB="0" distL="114300" distR="114300" simplePos="0" relativeHeight="251659264" behindDoc="0" locked="1" layoutInCell="1" allowOverlap="1" wp14:anchorId="6904CCD2" wp14:editId="783281E8">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CC90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2D55E81E" w14:textId="77777777" w:rsidR="00A77DD0" w:rsidRDefault="00A77DD0" w:rsidP="006D0D78">
    <w:pPr>
      <w:pStyle w:val="Descriptor"/>
    </w:pPr>
    <w:r>
      <w:rPr>
        <w:noProof/>
      </w:rPr>
      <mc:AlternateContent>
        <mc:Choice Requires="wps">
          <w:drawing>
            <wp:inline distT="0" distB="0" distL="0" distR="0" wp14:anchorId="44AE9785" wp14:editId="78F79511">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EDF08" w14:textId="77777777" w:rsidR="00A77DD0" w:rsidRPr="00420DD6" w:rsidRDefault="00420DD6" w:rsidP="001C27DF">
                          <w:pPr>
                            <w:pStyle w:val="Descriptor"/>
                            <w:rPr>
                              <w:sz w:val="26"/>
                              <w:szCs w:val="26"/>
                            </w:rPr>
                          </w:pPr>
                          <w:r w:rsidRPr="00420DD6">
                            <w:rPr>
                              <w:sz w:val="26"/>
                              <w:szCs w:val="26"/>
                            </w:rPr>
                            <w:t>Resources Regulator</w:t>
                          </w:r>
                        </w:p>
                        <w:p w14:paraId="7E5F08D9"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44AE9785"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1F1EDF08" w14:textId="77777777" w:rsidR="00A77DD0" w:rsidRPr="00420DD6" w:rsidRDefault="00420DD6" w:rsidP="001C27DF">
                    <w:pPr>
                      <w:pStyle w:val="Descriptor"/>
                      <w:rPr>
                        <w:sz w:val="26"/>
                        <w:szCs w:val="26"/>
                      </w:rPr>
                    </w:pPr>
                    <w:r w:rsidRPr="00420DD6">
                      <w:rPr>
                        <w:sz w:val="26"/>
                        <w:szCs w:val="26"/>
                      </w:rPr>
                      <w:t>Resources Regulator</w:t>
                    </w:r>
                  </w:p>
                  <w:p w14:paraId="7E5F08D9"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D1E9F84" wp14:editId="2ADA6BFD">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A04F38"/>
    <w:multiLevelType w:val="hybridMultilevel"/>
    <w:tmpl w:val="B1DE42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671C6C9A"/>
    <w:multiLevelType w:val="hybridMultilevel"/>
    <w:tmpl w:val="36BE9ED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8"/>
  </w:num>
  <w:num w:numId="4">
    <w:abstractNumId w:val="2"/>
  </w:num>
  <w:num w:numId="5">
    <w:abstractNumId w:val="7"/>
  </w:num>
  <w:num w:numId="6">
    <w:abstractNumId w:val="4"/>
  </w:num>
  <w:num w:numId="7">
    <w:abstractNumId w:val="4"/>
    <w:lvlOverride w:ilvl="0">
      <w:startOverride w:val="1"/>
    </w:lvlOverride>
  </w:num>
  <w:num w:numId="8">
    <w:abstractNumId w:val="2"/>
    <w:lvlOverride w:ilvl="0">
      <w:startOverride w:val="1"/>
    </w:lvlOverride>
  </w:num>
  <w:num w:numId="9">
    <w:abstractNumId w:val="7"/>
    <w:lvlOverride w:ilvl="0">
      <w:startOverride w:val="1"/>
    </w:lvlOverride>
  </w:num>
  <w:num w:numId="10">
    <w:abstractNumId w:val="15"/>
  </w:num>
  <w:num w:numId="11">
    <w:abstractNumId w:val="4"/>
  </w:num>
  <w:num w:numId="12">
    <w:abstractNumId w:val="16"/>
  </w:num>
  <w:num w:numId="13">
    <w:abstractNumId w:val="8"/>
  </w:num>
  <w:num w:numId="14">
    <w:abstractNumId w:val="2"/>
  </w:num>
  <w:num w:numId="15">
    <w:abstractNumId w:val="7"/>
  </w:num>
  <w:num w:numId="16">
    <w:abstractNumId w:val="16"/>
  </w:num>
  <w:num w:numId="17">
    <w:abstractNumId w:val="8"/>
  </w:num>
  <w:num w:numId="18">
    <w:abstractNumId w:val="15"/>
  </w:num>
  <w:num w:numId="19">
    <w:abstractNumId w:val="2"/>
  </w:num>
  <w:num w:numId="20">
    <w:abstractNumId w:val="7"/>
  </w:num>
  <w:num w:numId="21">
    <w:abstractNumId w:val="4"/>
  </w:num>
  <w:num w:numId="22">
    <w:abstractNumId w:val="15"/>
    <w:lvlOverride w:ilvl="0">
      <w:startOverride w:val="1"/>
    </w:lvlOverride>
  </w:num>
  <w:num w:numId="23">
    <w:abstractNumId w:val="16"/>
    <w:lvlOverride w:ilvl="0">
      <w:startOverride w:val="1"/>
    </w:lvlOverride>
  </w:num>
  <w:num w:numId="24">
    <w:abstractNumId w:val="8"/>
    <w:lvlOverride w:ilvl="0">
      <w:startOverride w:val="1"/>
    </w:lvlOverride>
  </w:num>
  <w:num w:numId="25">
    <w:abstractNumId w:val="16"/>
  </w:num>
  <w:num w:numId="26">
    <w:abstractNumId w:val="8"/>
  </w:num>
  <w:num w:numId="27">
    <w:abstractNumId w:val="15"/>
  </w:num>
  <w:num w:numId="28">
    <w:abstractNumId w:val="2"/>
  </w:num>
  <w:num w:numId="29">
    <w:abstractNumId w:val="7"/>
  </w:num>
  <w:num w:numId="30">
    <w:abstractNumId w:val="4"/>
  </w:num>
  <w:num w:numId="31">
    <w:abstractNumId w:val="15"/>
  </w:num>
  <w:num w:numId="32">
    <w:abstractNumId w:val="4"/>
  </w:num>
  <w:num w:numId="33">
    <w:abstractNumId w:val="9"/>
  </w:num>
  <w:num w:numId="34">
    <w:abstractNumId w:val="3"/>
  </w:num>
  <w:num w:numId="35">
    <w:abstractNumId w:val="13"/>
  </w:num>
  <w:num w:numId="36">
    <w:abstractNumId w:val="6"/>
  </w:num>
  <w:num w:numId="37">
    <w:abstractNumId w:val="1"/>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1"/>
  </w:num>
  <w:num w:numId="42">
    <w:abstractNumId w:val="5"/>
  </w:num>
  <w:num w:numId="43">
    <w:abstractNumId w:val="18"/>
  </w:num>
  <w:num w:numId="44">
    <w:abstractNumId w:val="10"/>
  </w:num>
  <w:num w:numId="45">
    <w:abstractNumId w:val="17"/>
  </w:num>
  <w:num w:numId="4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FfdzaZkvGhAUFPZEze+dV1L56UgEgR7FP+o7FYx8hYCnysCnPScwPOln04byDfFTt36BE1Qu3tIYg+9GHV9ryA==" w:salt="8hP1PWm0nhwsdO0c26o7HA=="/>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6A"/>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72660"/>
    <w:rsid w:val="00072B2F"/>
    <w:rsid w:val="0007793A"/>
    <w:rsid w:val="0008073E"/>
    <w:rsid w:val="000926DF"/>
    <w:rsid w:val="000961F5"/>
    <w:rsid w:val="000A0A02"/>
    <w:rsid w:val="000A381D"/>
    <w:rsid w:val="000B7F4B"/>
    <w:rsid w:val="000D5CAC"/>
    <w:rsid w:val="000D6B77"/>
    <w:rsid w:val="000E0434"/>
    <w:rsid w:val="000E457A"/>
    <w:rsid w:val="000E7003"/>
    <w:rsid w:val="000F052A"/>
    <w:rsid w:val="001023FE"/>
    <w:rsid w:val="0010613F"/>
    <w:rsid w:val="001106A0"/>
    <w:rsid w:val="00111713"/>
    <w:rsid w:val="00111775"/>
    <w:rsid w:val="00112375"/>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F010F"/>
    <w:rsid w:val="00216B6C"/>
    <w:rsid w:val="00216D02"/>
    <w:rsid w:val="00224CE1"/>
    <w:rsid w:val="00224DDA"/>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34BF"/>
    <w:rsid w:val="00305D59"/>
    <w:rsid w:val="00305D69"/>
    <w:rsid w:val="00320A84"/>
    <w:rsid w:val="00340CA0"/>
    <w:rsid w:val="00345D83"/>
    <w:rsid w:val="00353985"/>
    <w:rsid w:val="0036379C"/>
    <w:rsid w:val="00364F93"/>
    <w:rsid w:val="00374C56"/>
    <w:rsid w:val="00394652"/>
    <w:rsid w:val="003A0E8F"/>
    <w:rsid w:val="003A44F5"/>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0DD6"/>
    <w:rsid w:val="00426926"/>
    <w:rsid w:val="00426EE8"/>
    <w:rsid w:val="0043431C"/>
    <w:rsid w:val="00453F7C"/>
    <w:rsid w:val="00470991"/>
    <w:rsid w:val="00472653"/>
    <w:rsid w:val="00473FB7"/>
    <w:rsid w:val="004766D2"/>
    <w:rsid w:val="00482862"/>
    <w:rsid w:val="00482E74"/>
    <w:rsid w:val="004964CC"/>
    <w:rsid w:val="004A4836"/>
    <w:rsid w:val="004A7EA0"/>
    <w:rsid w:val="004B13EA"/>
    <w:rsid w:val="004B29B9"/>
    <w:rsid w:val="004C02EC"/>
    <w:rsid w:val="004C1A21"/>
    <w:rsid w:val="004C1FE7"/>
    <w:rsid w:val="004C35B2"/>
    <w:rsid w:val="004D4D99"/>
    <w:rsid w:val="004D5467"/>
    <w:rsid w:val="004E33CF"/>
    <w:rsid w:val="004F4880"/>
    <w:rsid w:val="004F668A"/>
    <w:rsid w:val="004F6D4C"/>
    <w:rsid w:val="004F77CB"/>
    <w:rsid w:val="00500B67"/>
    <w:rsid w:val="00501FE9"/>
    <w:rsid w:val="00516538"/>
    <w:rsid w:val="00520735"/>
    <w:rsid w:val="005218C6"/>
    <w:rsid w:val="00527689"/>
    <w:rsid w:val="0053238E"/>
    <w:rsid w:val="00544E33"/>
    <w:rsid w:val="00545F6A"/>
    <w:rsid w:val="00550F70"/>
    <w:rsid w:val="0055107D"/>
    <w:rsid w:val="005668BE"/>
    <w:rsid w:val="00576F5B"/>
    <w:rsid w:val="00586CF7"/>
    <w:rsid w:val="00587BAD"/>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5EC0"/>
    <w:rsid w:val="005F1786"/>
    <w:rsid w:val="005F252B"/>
    <w:rsid w:val="005F36D7"/>
    <w:rsid w:val="005F4E21"/>
    <w:rsid w:val="00604A6E"/>
    <w:rsid w:val="00630F42"/>
    <w:rsid w:val="0063593D"/>
    <w:rsid w:val="006520C0"/>
    <w:rsid w:val="00676178"/>
    <w:rsid w:val="0067638B"/>
    <w:rsid w:val="00683C09"/>
    <w:rsid w:val="006902D1"/>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1CDF"/>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862F5"/>
    <w:rsid w:val="00894241"/>
    <w:rsid w:val="0089425F"/>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2430"/>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4CAD"/>
    <w:rsid w:val="009F655A"/>
    <w:rsid w:val="00A00CBC"/>
    <w:rsid w:val="00A0356E"/>
    <w:rsid w:val="00A0502B"/>
    <w:rsid w:val="00A05561"/>
    <w:rsid w:val="00A1127E"/>
    <w:rsid w:val="00A161D6"/>
    <w:rsid w:val="00A20D01"/>
    <w:rsid w:val="00A263B1"/>
    <w:rsid w:val="00A35389"/>
    <w:rsid w:val="00A47B2F"/>
    <w:rsid w:val="00A52060"/>
    <w:rsid w:val="00A65014"/>
    <w:rsid w:val="00A76112"/>
    <w:rsid w:val="00A77DD0"/>
    <w:rsid w:val="00A91604"/>
    <w:rsid w:val="00A9464A"/>
    <w:rsid w:val="00A968C2"/>
    <w:rsid w:val="00A96CAA"/>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618E"/>
    <w:rsid w:val="00B508B5"/>
    <w:rsid w:val="00B509BA"/>
    <w:rsid w:val="00B5352F"/>
    <w:rsid w:val="00B54101"/>
    <w:rsid w:val="00B73940"/>
    <w:rsid w:val="00B92656"/>
    <w:rsid w:val="00BB00A2"/>
    <w:rsid w:val="00BC2680"/>
    <w:rsid w:val="00BC6ADB"/>
    <w:rsid w:val="00BD0A8A"/>
    <w:rsid w:val="00BD104C"/>
    <w:rsid w:val="00BD1E5B"/>
    <w:rsid w:val="00BD5B4B"/>
    <w:rsid w:val="00BD73D5"/>
    <w:rsid w:val="00BE02CE"/>
    <w:rsid w:val="00BE0CE4"/>
    <w:rsid w:val="00BE3F7B"/>
    <w:rsid w:val="00BF401A"/>
    <w:rsid w:val="00C01C58"/>
    <w:rsid w:val="00C12988"/>
    <w:rsid w:val="00C1506D"/>
    <w:rsid w:val="00C20561"/>
    <w:rsid w:val="00C22186"/>
    <w:rsid w:val="00C27794"/>
    <w:rsid w:val="00C31BE6"/>
    <w:rsid w:val="00C31C00"/>
    <w:rsid w:val="00C36AA2"/>
    <w:rsid w:val="00C44800"/>
    <w:rsid w:val="00C509DC"/>
    <w:rsid w:val="00C515B8"/>
    <w:rsid w:val="00C53C5C"/>
    <w:rsid w:val="00C56B81"/>
    <w:rsid w:val="00C572B1"/>
    <w:rsid w:val="00C61392"/>
    <w:rsid w:val="00C62FCD"/>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3D68"/>
    <w:rsid w:val="00E171AE"/>
    <w:rsid w:val="00E40F82"/>
    <w:rsid w:val="00E56242"/>
    <w:rsid w:val="00E91082"/>
    <w:rsid w:val="00E95449"/>
    <w:rsid w:val="00E97EB0"/>
    <w:rsid w:val="00EA016D"/>
    <w:rsid w:val="00EB3745"/>
    <w:rsid w:val="00EC72BA"/>
    <w:rsid w:val="00ED7794"/>
    <w:rsid w:val="00EE23A3"/>
    <w:rsid w:val="00EE5639"/>
    <w:rsid w:val="00EF1C2A"/>
    <w:rsid w:val="00EF66A8"/>
    <w:rsid w:val="00F15E9F"/>
    <w:rsid w:val="00F2157A"/>
    <w:rsid w:val="00F245B4"/>
    <w:rsid w:val="00F26E39"/>
    <w:rsid w:val="00F31DA7"/>
    <w:rsid w:val="00F3338E"/>
    <w:rsid w:val="00F33644"/>
    <w:rsid w:val="00F35372"/>
    <w:rsid w:val="00F531C6"/>
    <w:rsid w:val="00F5504A"/>
    <w:rsid w:val="00F665FD"/>
    <w:rsid w:val="00F71A4F"/>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57077"/>
  <w15:chartTrackingRefBased/>
  <w15:docId w15:val="{1EE8FFD5-8020-497E-9C27-B98E0750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C01C58"/>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paragraph" w:styleId="ListParagraph">
    <w:name w:val="List Paragraph"/>
    <w:basedOn w:val="Normal"/>
    <w:uiPriority w:val="34"/>
    <w:qFormat/>
    <w:rsid w:val="004E33CF"/>
    <w:pPr>
      <w:suppressAutoHyphens w:val="0"/>
      <w:spacing w:before="120" w:after="120" w:line="240" w:lineRule="atLeast"/>
      <w:ind w:left="720"/>
      <w:contextualSpacing/>
    </w:pPr>
    <w:rPr>
      <w:rFonts w:ascii="Arial" w:eastAsia="Times New Roman" w:hAnsi="Arial" w:cs="Times New Roman"/>
      <w:color w:val="auto"/>
      <w:lang w:eastAsia="en-US"/>
    </w:rPr>
  </w:style>
  <w:style w:type="table" w:styleId="LightList-Accent1">
    <w:name w:val="Light List Accent 1"/>
    <w:basedOn w:val="TableNormal"/>
    <w:uiPriority w:val="61"/>
    <w:rsid w:val="004E33CF"/>
    <w:pPr>
      <w:spacing w:after="0" w:line="240" w:lineRule="auto"/>
    </w:pPr>
    <w:rPr>
      <w:rFonts w:eastAsiaTheme="minorHAnsi"/>
      <w:lang w:eastAsia="en-US"/>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pPr>
        <w:spacing w:before="0" w:after="0" w:line="240" w:lineRule="auto"/>
      </w:pPr>
      <w:rPr>
        <w:b/>
        <w:bCs/>
        <w:color w:val="FFFFFF" w:themeColor="background1"/>
      </w:rPr>
      <w:tblPr/>
      <w:tcPr>
        <w:shd w:val="clear" w:color="auto" w:fill="002664" w:themeFill="accent1"/>
      </w:tcPr>
    </w:tblStylePr>
    <w:tblStylePr w:type="lastRow">
      <w:pPr>
        <w:spacing w:before="0" w:after="0" w:line="240" w:lineRule="auto"/>
      </w:pPr>
      <w:rPr>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tcBorders>
      </w:tcPr>
    </w:tblStylePr>
    <w:tblStylePr w:type="firstCol">
      <w:rPr>
        <w:b/>
        <w:bCs/>
      </w:rPr>
    </w:tblStylePr>
    <w:tblStylePr w:type="lastCol">
      <w:rPr>
        <w:b/>
        <w:bCs/>
      </w:r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style>
  <w:style w:type="character" w:styleId="UnresolvedMention">
    <w:name w:val="Unresolved Mention"/>
    <w:basedOn w:val="DefaultParagraphFont"/>
    <w:uiPriority w:val="99"/>
    <w:semiHidden/>
    <w:unhideWhenUsed/>
    <w:rsid w:val="004E3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bsidence.monitoring@regional.nsw.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ims.resourcesregulator.nsw.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bsidence.monitoring@regional.nsw.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RR%20templates\RR%20forms%20templat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docProps/app.xml><?xml version="1.0" encoding="utf-8"?>
<Properties xmlns="http://schemas.openxmlformats.org/officeDocument/2006/extended-properties" xmlns:vt="http://schemas.openxmlformats.org/officeDocument/2006/docPropsVTypes">
  <Template>RR forms template.dotx</Template>
  <TotalTime>22</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Form number Mining Act 1992</vt:lpstr>
    </vt:vector>
  </TitlesOfParts>
  <Company>NSW Resources Regulator</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 Mining Act 1992</dc:title>
  <dc:subject>form</dc:subject>
  <dc:creator>Department of Regional NSW</dc:creator>
  <cp:keywords>mine, mines,mining, subsidence, monitoring, data</cp:keywords>
  <dc:description/>
  <cp:lastModifiedBy>Kirsten Stoop</cp:lastModifiedBy>
  <cp:revision>9</cp:revision>
  <cp:lastPrinted>2022-03-23T11:08:00Z</cp:lastPrinted>
  <dcterms:created xsi:type="dcterms:W3CDTF">2023-03-06T00:21:00Z</dcterms:created>
  <dcterms:modified xsi:type="dcterms:W3CDTF">2023-03-15T03:56:00Z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