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9E29" w14:textId="2D690E4D" w:rsidR="008E1BEC" w:rsidRDefault="00836F7C" w:rsidP="00516538">
      <w:pPr>
        <w:pStyle w:val="Smallbodycopy"/>
      </w:pPr>
      <w:r>
        <w:t>May 2025</w:t>
      </w:r>
    </w:p>
    <w:p w14:paraId="1C6A78D1" w14:textId="77777777" w:rsidR="00D603B9" w:rsidRPr="00516538" w:rsidRDefault="00D603B9" w:rsidP="00516538">
      <w:pPr>
        <w:pStyle w:val="Smallbodycopy"/>
      </w:pPr>
    </w:p>
    <w:p w14:paraId="3BA9AF4F" w14:textId="290D31CD" w:rsidR="00A77DD0" w:rsidRPr="00D603B9" w:rsidRDefault="00072660" w:rsidP="00D603B9">
      <w:pPr>
        <w:pStyle w:val="Header"/>
      </w:pPr>
      <w:r w:rsidRPr="00D603B9">
        <w:t xml:space="preserve">Form </w:t>
      </w:r>
    </w:p>
    <w:p w14:paraId="777EFFD7" w14:textId="516AE5F8" w:rsidR="00BF07E8" w:rsidRDefault="00000000" w:rsidP="00A27A33">
      <w:pPr>
        <w:pStyle w:val="Heading1"/>
      </w:pPr>
      <w:sdt>
        <w:sdtPr>
          <w:alias w:val="Title"/>
          <w:tag w:val=""/>
          <w:id w:val="-1833356382"/>
          <w:placeholder>
            <w:docPart w:val="6B0D4BF1751A455AA36DF36CA2BA2AD3"/>
          </w:placeholder>
          <w:dataBinding w:prefixMappings="xmlns:ns0='http://purl.org/dc/elements/1.1/' xmlns:ns1='http://schemas.openxmlformats.org/package/2006/metadata/core-properties' " w:xpath="/ns1:coreProperties[1]/ns0:title[1]" w:storeItemID="{6C3C8BC8-F283-45AE-878A-BAB7291924A1}"/>
          <w:text/>
        </w:sdtPr>
        <w:sdtContent>
          <w:r w:rsidR="00CB2D3A">
            <w:t>Notification of other matters (including reportable events) for exploration only</w:t>
          </w:r>
        </w:sdtContent>
      </w:sdt>
    </w:p>
    <w:p w14:paraId="078CEEEA" w14:textId="478CF28C" w:rsidR="00BF07E8" w:rsidRDefault="00BF07E8" w:rsidP="00A27A33">
      <w:pPr>
        <w:pStyle w:val="Heading2"/>
      </w:pPr>
      <w:r>
        <w:t>WHS (Mines and Petroleum Sites) legislation</w:t>
      </w:r>
    </w:p>
    <w:p w14:paraId="05BA4B32" w14:textId="77777777" w:rsidR="00BF07E8" w:rsidRDefault="00BF07E8" w:rsidP="00BF07E8">
      <w:pPr>
        <w:pStyle w:val="BodyText"/>
      </w:pPr>
      <w:r>
        <w:t xml:space="preserve">This form is to be submitted in relation to exploration to be undertaken at mines or petroleum sites to notify the Regulator of reportable events. </w:t>
      </w:r>
    </w:p>
    <w:p w14:paraId="48AD6EA3" w14:textId="0145D442" w:rsidR="00BF07E8" w:rsidRDefault="00BF07E8" w:rsidP="00BF07E8">
      <w:pPr>
        <w:pStyle w:val="ListBullet"/>
      </w:pPr>
      <w:r>
        <w:t xml:space="preserve">As an alternative to submitting this form, reportable events notification can be made online via the </w:t>
      </w:r>
      <w:hyperlink r:id="rId11" w:history="1">
        <w:r w:rsidRPr="00F03C85">
          <w:rPr>
            <w:rStyle w:val="Hyperlink"/>
          </w:rPr>
          <w:t>Regulator Portal</w:t>
        </w:r>
      </w:hyperlink>
      <w:r>
        <w:t xml:space="preserve"> as shown below.</w:t>
      </w:r>
    </w:p>
    <w:p w14:paraId="16DA1857" w14:textId="0389A913" w:rsidR="00BF07E8" w:rsidRDefault="00BF07E8" w:rsidP="00A27A33">
      <w:pPr>
        <w:pStyle w:val="Heading2"/>
      </w:pPr>
      <w:r>
        <w:t>Notifying via the portal</w:t>
      </w:r>
    </w:p>
    <w:p w14:paraId="21ABE0F8" w14:textId="333A50BC" w:rsidR="00BF07E8" w:rsidRDefault="00BF07E8" w:rsidP="00BF07E8">
      <w:pPr>
        <w:pStyle w:val="BodyText"/>
      </w:pPr>
      <w:r w:rsidRPr="00BF07E8">
        <w:t xml:space="preserve">Select the </w:t>
      </w:r>
      <w:r w:rsidR="00AB1037">
        <w:t>‘</w:t>
      </w:r>
      <w:r w:rsidRPr="00BF07E8">
        <w:t>Operator’s Portal</w:t>
      </w:r>
      <w:r w:rsidR="00AB1037">
        <w:t>’</w:t>
      </w:r>
      <w:r w:rsidRPr="00BF07E8">
        <w:t xml:space="preserve"> from the </w:t>
      </w:r>
      <w:r w:rsidR="00CB2D3A" w:rsidRPr="00BF07E8">
        <w:t>menu.</w:t>
      </w:r>
    </w:p>
    <w:p w14:paraId="5871EF6C" w14:textId="0B2BB641" w:rsidR="00BF07E8" w:rsidRDefault="00BF07E8" w:rsidP="00BF07E8">
      <w:pPr>
        <w:pStyle w:val="BodyText"/>
      </w:pPr>
      <w:r w:rsidRPr="00BF07E8">
        <w:rPr>
          <w:rFonts w:ascii="Arial" w:eastAsia="Calibri" w:hAnsi="Arial" w:cs="Times New Roman"/>
          <w:b/>
          <w:noProof/>
          <w:color w:val="auto"/>
          <w:lang w:eastAsia="en-US"/>
        </w:rPr>
        <w:drawing>
          <wp:inline distT="0" distB="0" distL="0" distR="0" wp14:anchorId="26FB7FE1" wp14:editId="4A218C3C">
            <wp:extent cx="6479540" cy="3378200"/>
            <wp:effectExtent l="0" t="0" r="0" b="0"/>
            <wp:docPr id="2" name="Picture 2" descr="A screenshot of a computer showing the operator's port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howing the operator's portal&#10;&#10;"/>
                    <pic:cNvPicPr/>
                  </pic:nvPicPr>
                  <pic:blipFill>
                    <a:blip r:embed="rId12"/>
                    <a:stretch>
                      <a:fillRect/>
                    </a:stretch>
                  </pic:blipFill>
                  <pic:spPr>
                    <a:xfrm>
                      <a:off x="0" y="0"/>
                      <a:ext cx="6479540" cy="3378200"/>
                    </a:xfrm>
                    <a:prstGeom prst="rect">
                      <a:avLst/>
                    </a:prstGeom>
                  </pic:spPr>
                </pic:pic>
              </a:graphicData>
            </a:graphic>
          </wp:inline>
        </w:drawing>
      </w:r>
    </w:p>
    <w:p w14:paraId="285A42B7" w14:textId="29BE3CF3" w:rsidR="00BF07E8" w:rsidRDefault="00BF07E8" w:rsidP="00BF07E8">
      <w:pPr>
        <w:pStyle w:val="BodyText"/>
      </w:pPr>
    </w:p>
    <w:p w14:paraId="02350149" w14:textId="467EFA2D" w:rsidR="00BF07E8" w:rsidRDefault="00BF07E8" w:rsidP="00BF07E8">
      <w:pPr>
        <w:pStyle w:val="BodyText"/>
      </w:pPr>
    </w:p>
    <w:p w14:paraId="10507415" w14:textId="072EBEEC" w:rsidR="00BF07E8" w:rsidRDefault="00BF07E8" w:rsidP="00BF07E8">
      <w:pPr>
        <w:pStyle w:val="BodyText"/>
      </w:pPr>
      <w:r w:rsidRPr="00BF07E8">
        <w:lastRenderedPageBreak/>
        <w:t>Select Operation Notifications</w:t>
      </w:r>
    </w:p>
    <w:p w14:paraId="19CE5932" w14:textId="653CBB30" w:rsidR="00BF07E8" w:rsidRDefault="00BF07E8" w:rsidP="00BF07E8">
      <w:pPr>
        <w:pStyle w:val="BodyText"/>
      </w:pPr>
      <w:r w:rsidRPr="00BF07E8">
        <w:rPr>
          <w:rFonts w:ascii="Arial" w:eastAsia="Calibri" w:hAnsi="Arial" w:cs="Times New Roman"/>
          <w:bCs/>
          <w:noProof/>
          <w:color w:val="auto"/>
          <w:lang w:eastAsia="en-US"/>
        </w:rPr>
        <w:drawing>
          <wp:inline distT="0" distB="0" distL="0" distR="0" wp14:anchorId="525B84D1" wp14:editId="220AF1E1">
            <wp:extent cx="6479540" cy="3005455"/>
            <wp:effectExtent l="0" t="0" r="0" b="4445"/>
            <wp:docPr id="7" name="Picture 7" descr="A screenshot of a computer showing the operator notification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 showing the operator notifications selected"/>
                    <pic:cNvPicPr/>
                  </pic:nvPicPr>
                  <pic:blipFill>
                    <a:blip r:embed="rId13"/>
                    <a:stretch>
                      <a:fillRect/>
                    </a:stretch>
                  </pic:blipFill>
                  <pic:spPr>
                    <a:xfrm>
                      <a:off x="0" y="0"/>
                      <a:ext cx="6479540" cy="3005455"/>
                    </a:xfrm>
                    <a:prstGeom prst="rect">
                      <a:avLst/>
                    </a:prstGeom>
                  </pic:spPr>
                </pic:pic>
              </a:graphicData>
            </a:graphic>
          </wp:inline>
        </w:drawing>
      </w:r>
    </w:p>
    <w:p w14:paraId="65E61EEA" w14:textId="5A340D23" w:rsidR="00BF07E8" w:rsidRDefault="00BF07E8" w:rsidP="00BF07E8">
      <w:pPr>
        <w:pStyle w:val="BodyText"/>
      </w:pPr>
      <w:r w:rsidRPr="00BF07E8">
        <w:t>Then select to Operator Appointment or Commencement of Mining depending on the desired notification</w:t>
      </w:r>
      <w:r>
        <w:t>.</w:t>
      </w:r>
    </w:p>
    <w:p w14:paraId="63A5BE27" w14:textId="2A02C457" w:rsidR="00BF07E8" w:rsidRDefault="00BF07E8" w:rsidP="00BF07E8">
      <w:pPr>
        <w:pStyle w:val="BodyText"/>
      </w:pPr>
      <w:r w:rsidRPr="00BF07E8">
        <w:rPr>
          <w:rFonts w:ascii="Arial" w:eastAsia="Calibri" w:hAnsi="Arial" w:cs="Times New Roman"/>
          <w:bCs/>
          <w:noProof/>
          <w:color w:val="auto"/>
          <w:lang w:eastAsia="en-US"/>
        </w:rPr>
        <w:drawing>
          <wp:inline distT="0" distB="0" distL="0" distR="0" wp14:anchorId="4732F56D" wp14:editId="779FE1FB">
            <wp:extent cx="6479540" cy="3378200"/>
            <wp:effectExtent l="0" t="0" r="0" b="0"/>
            <wp:docPr id="8" name="Picture 8" descr="computer screen showing operator appointment and commencement of mining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puter screen showing operator appointment and commencement of mining selected"/>
                    <pic:cNvPicPr/>
                  </pic:nvPicPr>
                  <pic:blipFill>
                    <a:blip r:embed="rId14"/>
                    <a:stretch>
                      <a:fillRect/>
                    </a:stretch>
                  </pic:blipFill>
                  <pic:spPr>
                    <a:xfrm>
                      <a:off x="0" y="0"/>
                      <a:ext cx="6479540" cy="3378200"/>
                    </a:xfrm>
                    <a:prstGeom prst="rect">
                      <a:avLst/>
                    </a:prstGeom>
                  </pic:spPr>
                </pic:pic>
              </a:graphicData>
            </a:graphic>
          </wp:inline>
        </w:drawing>
      </w:r>
    </w:p>
    <w:p w14:paraId="1663971B" w14:textId="05A899FD" w:rsidR="00BF07E8" w:rsidRDefault="00BF07E8" w:rsidP="00BF07E8">
      <w:pPr>
        <w:pStyle w:val="BodyText"/>
      </w:pPr>
    </w:p>
    <w:p w14:paraId="302834B6" w14:textId="77777777" w:rsidR="00BF07E8" w:rsidRDefault="00BF07E8" w:rsidP="00BF07E8">
      <w:pPr>
        <w:pStyle w:val="BodyText"/>
      </w:pPr>
    </w:p>
    <w:p w14:paraId="742EFF97" w14:textId="1EF42F71" w:rsidR="00193A8E" w:rsidRDefault="00193A8E">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8CCD5F9" w14:textId="0E869A46" w:rsidR="00BF07E8" w:rsidRDefault="00193A8E" w:rsidP="00A27A33">
      <w:pPr>
        <w:pStyle w:val="Heading2"/>
      </w:pPr>
      <w:r>
        <w:lastRenderedPageBreak/>
        <w:t>About this form</w:t>
      </w:r>
    </w:p>
    <w:p w14:paraId="7009C634" w14:textId="11B6247E" w:rsidR="00193A8E" w:rsidRDefault="00EE3191" w:rsidP="00193A8E">
      <w:pPr>
        <w:pStyle w:val="BodyText"/>
      </w:pPr>
      <w:r>
        <w:t>Section</w:t>
      </w:r>
      <w:r w:rsidR="00193A8E">
        <w:t xml:space="preserve"> 125 of the Work Health and Safety (Mines and Petroleum Sites) Regulation 2022 sets out requirements on the operator of the mine or petroleum site undertaking exploration (or prospecting) by ‘mechanical </w:t>
      </w:r>
      <w:proofErr w:type="gramStart"/>
      <w:r w:rsidR="00193A8E">
        <w:t>means’</w:t>
      </w:r>
      <w:proofErr w:type="gramEnd"/>
      <w:r w:rsidR="00193A8E">
        <w:t xml:space="preserve"> to notify the Regulator of certain events referred to as ‘reportable </w:t>
      </w:r>
      <w:proofErr w:type="gramStart"/>
      <w:r w:rsidR="00193A8E">
        <w:t>events’</w:t>
      </w:r>
      <w:proofErr w:type="gramEnd"/>
      <w:r w:rsidR="00193A8E">
        <w:t xml:space="preserve">. </w:t>
      </w:r>
    </w:p>
    <w:p w14:paraId="4205B546" w14:textId="77777777" w:rsidR="00193A8E" w:rsidRDefault="00193A8E" w:rsidP="00193A8E">
      <w:pPr>
        <w:pStyle w:val="BodyText"/>
      </w:pPr>
      <w:r>
        <w:t>In respect of exploration (or prospecting) at a mine or petroleum site these are:</w:t>
      </w:r>
    </w:p>
    <w:p w14:paraId="700805FC" w14:textId="40262B15" w:rsidR="00193A8E" w:rsidRDefault="00193A8E" w:rsidP="00193A8E">
      <w:pPr>
        <w:pStyle w:val="ListBullet"/>
      </w:pPr>
      <w:r>
        <w:t>the commencement of exploration or prospecting by mechanical means</w:t>
      </w:r>
    </w:p>
    <w:p w14:paraId="7EDA804A" w14:textId="6FE3E13F" w:rsidR="00193A8E" w:rsidRDefault="00193A8E" w:rsidP="00193A8E">
      <w:pPr>
        <w:pStyle w:val="ListBullet"/>
      </w:pPr>
      <w:r>
        <w:t xml:space="preserve"> any significant interruption to, or suspension of, exploration. </w:t>
      </w:r>
      <w:r w:rsidRPr="00193A8E">
        <w:rPr>
          <w:rStyle w:val="Strong"/>
        </w:rPr>
        <w:t xml:space="preserve">Note: </w:t>
      </w:r>
      <w:r>
        <w:t xml:space="preserve">Notification is not required in relation to a significant interruption or suspension if the mine operator has already notified us of the interruption or suspension in relation to an incident referred to in </w:t>
      </w:r>
      <w:r w:rsidR="00EE3191">
        <w:t>section</w:t>
      </w:r>
      <w:r>
        <w:t xml:space="preserve"> 124 or a notifiable incident. </w:t>
      </w:r>
    </w:p>
    <w:p w14:paraId="1F789EE1" w14:textId="6C9A6BAC" w:rsidR="00193A8E" w:rsidRDefault="00193A8E" w:rsidP="00193A8E">
      <w:pPr>
        <w:pStyle w:val="ListBullet"/>
      </w:pPr>
      <w:r>
        <w:t>recommencement of normal exploration following an event referred above.</w:t>
      </w:r>
    </w:p>
    <w:p w14:paraId="7173EB49" w14:textId="34B3512C" w:rsidR="00193A8E" w:rsidRDefault="00193A8E" w:rsidP="00193A8E">
      <w:pPr>
        <w:pStyle w:val="ListBullet"/>
      </w:pPr>
      <w:r>
        <w:t>closure of the exploration site.</w:t>
      </w:r>
    </w:p>
    <w:p w14:paraId="07164FA7" w14:textId="77777777" w:rsidR="00193A8E" w:rsidRDefault="00193A8E" w:rsidP="00193A8E">
      <w:pPr>
        <w:pStyle w:val="BodyText"/>
      </w:pPr>
      <w:r>
        <w:t>Notification is not required for exploration for minerals or petroleum by non-mechanical means - see later in this form for more information.</w:t>
      </w:r>
    </w:p>
    <w:p w14:paraId="5CD92574" w14:textId="1449DA40" w:rsidR="00193A8E" w:rsidRDefault="00193A8E" w:rsidP="00193A8E">
      <w:pPr>
        <w:pStyle w:val="BodyText"/>
      </w:pPr>
      <w:r>
        <w:t xml:space="preserve">Penalties apply if the operator of a mine or petroleum site does not comply with </w:t>
      </w:r>
      <w:r w:rsidR="00EE3191">
        <w:t xml:space="preserve">section </w:t>
      </w:r>
      <w:r>
        <w:t>125 of the Work Health and Safety (Mines and Petroleum Sites) Regulation 2022.</w:t>
      </w:r>
    </w:p>
    <w:p w14:paraId="43884D50" w14:textId="25A40377" w:rsidR="00193A8E" w:rsidRDefault="008F4730" w:rsidP="00A27A33">
      <w:pPr>
        <w:pStyle w:val="Heading2"/>
      </w:pPr>
      <w:r>
        <w:t>When to notify</w:t>
      </w:r>
    </w:p>
    <w:p w14:paraId="652B2FDA" w14:textId="77777777" w:rsidR="008F4730" w:rsidRDefault="008F4730" w:rsidP="008F4730">
      <w:pPr>
        <w:pStyle w:val="BodyText"/>
      </w:pPr>
      <w:r>
        <w:t>The operator of the mine or petroleum site where exploration by mechanical means that disturb the ground will occur must notify the Regulator of these events before the event occurs except:</w:t>
      </w:r>
    </w:p>
    <w:p w14:paraId="04AD7628" w14:textId="2B8071F5" w:rsidR="00193A8E" w:rsidRDefault="008F4730" w:rsidP="00193A8E">
      <w:pPr>
        <w:pStyle w:val="ListBullet"/>
      </w:pPr>
      <w:r>
        <w:t>if the operator did not intend for the event to occur and could not have foreseen the event occurring, in this case notice must be given as soon as practicable after the event occurs.</w:t>
      </w:r>
    </w:p>
    <w:p w14:paraId="1DCC4792" w14:textId="72D872D6" w:rsidR="008F4730" w:rsidRDefault="008F4730" w:rsidP="00A27A33">
      <w:pPr>
        <w:pStyle w:val="Heading2"/>
      </w:pPr>
      <w:r>
        <w:t>Mechanical and non-mechanical means of exploration</w:t>
      </w:r>
    </w:p>
    <w:p w14:paraId="53D5A5DD" w14:textId="77777777" w:rsidR="008F4730" w:rsidRPr="008F4730" w:rsidRDefault="008F4730" w:rsidP="008F4730">
      <w:pPr>
        <w:pStyle w:val="BodyText"/>
        <w:rPr>
          <w:rStyle w:val="Strong"/>
        </w:rPr>
      </w:pPr>
      <w:r w:rsidRPr="008F4730">
        <w:rPr>
          <w:rStyle w:val="Strong"/>
        </w:rPr>
        <w:t xml:space="preserve">It is not necessary to notify the Regulator of commencement of non-mechanical exploration or prospecting. </w:t>
      </w:r>
    </w:p>
    <w:p w14:paraId="4648F69C" w14:textId="77777777" w:rsidR="008F4730" w:rsidRDefault="008F4730" w:rsidP="008F4730">
      <w:pPr>
        <w:pStyle w:val="BodyText"/>
      </w:pPr>
      <w:r>
        <w:t xml:space="preserve">Non-mechanical exploration means, exploring or prospecting for minerals or petroleum (other than by mechanical means, that disturb the ground) and includes the following: </w:t>
      </w:r>
    </w:p>
    <w:p w14:paraId="7829AB04" w14:textId="518BF8A4" w:rsidR="008F4730" w:rsidRDefault="008F4730" w:rsidP="008F4730">
      <w:pPr>
        <w:pStyle w:val="ListBullet"/>
      </w:pPr>
      <w:r>
        <w:t xml:space="preserve">geological mapping </w:t>
      </w:r>
    </w:p>
    <w:p w14:paraId="7192AB51" w14:textId="5A27DF5F" w:rsidR="008F4730" w:rsidRDefault="008F4730" w:rsidP="008F4730">
      <w:pPr>
        <w:pStyle w:val="ListBullet"/>
      </w:pPr>
      <w:r>
        <w:t xml:space="preserve">sampling and coring using hand-held </w:t>
      </w:r>
      <w:r w:rsidR="00CB2D3A">
        <w:t>equipment.</w:t>
      </w:r>
    </w:p>
    <w:p w14:paraId="22C32DCD" w14:textId="637B00D3" w:rsidR="008F4730" w:rsidRDefault="008F4730" w:rsidP="008F4730">
      <w:pPr>
        <w:pStyle w:val="ListBullet"/>
      </w:pPr>
      <w:r>
        <w:t xml:space="preserve">geophysical surveying (but not seismic surveying) and borehole logging </w:t>
      </w:r>
    </w:p>
    <w:p w14:paraId="34C0D030" w14:textId="021CC3BF" w:rsidR="008F4730" w:rsidRDefault="008F4730" w:rsidP="008F4730">
      <w:pPr>
        <w:pStyle w:val="ListBullet"/>
      </w:pPr>
      <w:r>
        <w:t xml:space="preserve">access by vehicle (but not if access requires the construction of an access way such as a track or road) </w:t>
      </w:r>
    </w:p>
    <w:p w14:paraId="63FF9C8C" w14:textId="6DB21D11" w:rsidR="008F4730" w:rsidRDefault="008F4730" w:rsidP="008F4730">
      <w:pPr>
        <w:pStyle w:val="ListBullet"/>
      </w:pPr>
      <w:r>
        <w:t xml:space="preserve">shallow reconnaissance drilling involving no more than minimal site </w:t>
      </w:r>
      <w:r w:rsidR="00CB2D3A">
        <w:t>preparation.</w:t>
      </w:r>
      <w:r>
        <w:t xml:space="preserve"> </w:t>
      </w:r>
    </w:p>
    <w:p w14:paraId="6025A244" w14:textId="27134BF7" w:rsidR="008F4730" w:rsidRDefault="008F4730" w:rsidP="008F4730">
      <w:pPr>
        <w:pStyle w:val="ListBullet"/>
      </w:pPr>
      <w:r>
        <w:t>minor excavations (but not costeaning or bulk sampling).</w:t>
      </w:r>
    </w:p>
    <w:p w14:paraId="1ECEEAC3" w14:textId="77777777" w:rsidR="008F4730" w:rsidRDefault="008F4730" w:rsidP="008F4730">
      <w:pPr>
        <w:pStyle w:val="BodyText"/>
      </w:pPr>
      <w:r w:rsidRPr="008F4730">
        <w:rPr>
          <w:rStyle w:val="Strong"/>
        </w:rPr>
        <w:lastRenderedPageBreak/>
        <w:t>Exploration or prospecting by mechanical means that disturb the ground must be notified.</w:t>
      </w:r>
      <w:r>
        <w:t xml:space="preserve"> Exploring for minerals or petroleum by mechanical means that disturb the ground includes:</w:t>
      </w:r>
    </w:p>
    <w:p w14:paraId="03110F70" w14:textId="4142E4DD" w:rsidR="008F4730" w:rsidRDefault="008F4730" w:rsidP="008F4730">
      <w:pPr>
        <w:pStyle w:val="ListBullet"/>
      </w:pPr>
      <w:r>
        <w:t>drilling (other than the use of hand-held augurs for sampling and coring or shallow reconnaissance drilling involving no more than minimal site preparation)</w:t>
      </w:r>
    </w:p>
    <w:p w14:paraId="4089F1F0" w14:textId="07936EA4" w:rsidR="008F4730" w:rsidRDefault="008F4730" w:rsidP="008F4730">
      <w:pPr>
        <w:pStyle w:val="ListBullet"/>
      </w:pPr>
      <w:r>
        <w:t>seismic surveying</w:t>
      </w:r>
    </w:p>
    <w:p w14:paraId="07134B27" w14:textId="5B7486C4" w:rsidR="008F4730" w:rsidRDefault="008F4730" w:rsidP="008F4730">
      <w:pPr>
        <w:pStyle w:val="ListBullet"/>
      </w:pPr>
      <w:r>
        <w:t>costeaning or bulk sampling</w:t>
      </w:r>
    </w:p>
    <w:p w14:paraId="5A340030" w14:textId="11C14F12" w:rsidR="008F4730" w:rsidRDefault="008F4730" w:rsidP="008F4730">
      <w:pPr>
        <w:pStyle w:val="ListBullet"/>
      </w:pPr>
      <w:r>
        <w:t>construction of access ways or roads.</w:t>
      </w:r>
    </w:p>
    <w:p w14:paraId="7E64D6A0" w14:textId="1F983F41" w:rsidR="008F4730" w:rsidRDefault="008F4730" w:rsidP="00A27A33">
      <w:pPr>
        <w:pStyle w:val="Heading2"/>
      </w:pPr>
      <w:r>
        <w:t>Changes to a drilling program</w:t>
      </w:r>
    </w:p>
    <w:p w14:paraId="7C662F7F" w14:textId="2652CE5F" w:rsidR="008F4730" w:rsidRDefault="008F4730" w:rsidP="00193A8E">
      <w:pPr>
        <w:pStyle w:val="BodyText"/>
      </w:pPr>
      <w:r w:rsidRPr="008F4730">
        <w:t>A single notification may be submitted for a series of drilling activities at an exploration site. However, if there are significant changes to the planned drilling program such that the submitted notification does not reflect the drilling program, a new notification must be submitted.</w:t>
      </w:r>
    </w:p>
    <w:p w14:paraId="6B1B9BB2" w14:textId="7E809F9A" w:rsidR="00BF07E8" w:rsidRDefault="008F4730" w:rsidP="00A27A33">
      <w:pPr>
        <w:pStyle w:val="Headingnumbered1"/>
      </w:pPr>
      <w:r>
        <w:t xml:space="preserve">Mines and </w:t>
      </w:r>
      <w:r w:rsidRPr="00A27A33">
        <w:t>petroleum</w:t>
      </w:r>
      <w:r>
        <w:t xml:space="preserve"> exploration sites</w:t>
      </w:r>
    </w:p>
    <w:p w14:paraId="2777E5D6" w14:textId="0A9FABAC" w:rsidR="008F4730" w:rsidRPr="00BF07E8" w:rsidRDefault="008F4730" w:rsidP="008F4730">
      <w:pPr>
        <w:pStyle w:val="Headingnumbered2"/>
      </w:pPr>
      <w:r>
        <w:t>Details of operator and site</w:t>
      </w:r>
    </w:p>
    <w:tbl>
      <w:tblPr>
        <w:tblStyle w:val="ListTable4-Accent2"/>
        <w:tblW w:w="5000" w:type="pct"/>
        <w:tblLook w:val="0620" w:firstRow="1" w:lastRow="0" w:firstColumn="0" w:lastColumn="0" w:noHBand="1" w:noVBand="1"/>
        <w:tblDescription w:val="Contact details"/>
      </w:tblPr>
      <w:tblGrid>
        <w:gridCol w:w="2606"/>
        <w:gridCol w:w="3588"/>
        <w:gridCol w:w="1085"/>
        <w:gridCol w:w="2915"/>
      </w:tblGrid>
      <w:tr w:rsidR="00D603B9" w:rsidRPr="009F4CAD" w14:paraId="6B66CD14"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66B5E6DE" w14:textId="7552A0D8" w:rsidR="00D603B9" w:rsidRPr="009F4CAD" w:rsidRDefault="00A3116A" w:rsidP="00AA1A58">
            <w:pPr>
              <w:pStyle w:val="Tableheader"/>
              <w:rPr>
                <w:b/>
              </w:rPr>
            </w:pPr>
            <w:r>
              <w:rPr>
                <w:b/>
              </w:rPr>
              <w:t>O</w:t>
            </w:r>
            <w:r w:rsidR="00D603B9">
              <w:rPr>
                <w:b/>
              </w:rPr>
              <w:t>perator</w:t>
            </w:r>
            <w:r>
              <w:rPr>
                <w:b/>
              </w:rPr>
              <w:t xml:space="preserve"> and site details</w:t>
            </w:r>
          </w:p>
        </w:tc>
      </w:tr>
      <w:tr w:rsidR="00A3116A" w:rsidRPr="009F4CAD" w14:paraId="4FC09AA0" w14:textId="77777777" w:rsidTr="00CB2D3A">
        <w:tc>
          <w:tcPr>
            <w:tcW w:w="1278" w:type="pct"/>
          </w:tcPr>
          <w:p w14:paraId="32A2CF9F" w14:textId="3BFB0F1B" w:rsidR="00A3116A" w:rsidRDefault="00A3116A" w:rsidP="00A3116A">
            <w:pPr>
              <w:pStyle w:val="Tabletext"/>
            </w:pPr>
            <w:r>
              <w:t>Name of operator for the exploration site</w:t>
            </w:r>
          </w:p>
        </w:tc>
        <w:tc>
          <w:tcPr>
            <w:tcW w:w="3722" w:type="pct"/>
            <w:gridSpan w:val="3"/>
          </w:tcPr>
          <w:p w14:paraId="2B03E6F9" w14:textId="297F5B46" w:rsidR="00A3116A" w:rsidRPr="009F4CAD" w:rsidRDefault="00A3116A" w:rsidP="00A3116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3116A" w:rsidRPr="009F4CAD" w14:paraId="06F3E2AF" w14:textId="77777777" w:rsidTr="00CB2D3A">
        <w:tc>
          <w:tcPr>
            <w:tcW w:w="1278" w:type="pct"/>
          </w:tcPr>
          <w:p w14:paraId="394657D9" w14:textId="4F11B932" w:rsidR="00A3116A" w:rsidRPr="009F4CAD" w:rsidRDefault="00A3116A" w:rsidP="00A3116A">
            <w:pPr>
              <w:pStyle w:val="Tabletext"/>
            </w:pPr>
            <w:r>
              <w:t>ACN is a company or ABN</w:t>
            </w:r>
          </w:p>
        </w:tc>
        <w:tc>
          <w:tcPr>
            <w:tcW w:w="3722" w:type="pct"/>
            <w:gridSpan w:val="3"/>
          </w:tcPr>
          <w:p w14:paraId="5AA4FFBD" w14:textId="6E21C163" w:rsidR="00A3116A" w:rsidRPr="009F4CAD" w:rsidRDefault="00A3116A" w:rsidP="00A3116A">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2D3A" w:rsidRPr="009F4CAD" w14:paraId="0ECCD729" w14:textId="77777777" w:rsidTr="00CB2D3A">
        <w:tc>
          <w:tcPr>
            <w:tcW w:w="1278" w:type="pct"/>
          </w:tcPr>
          <w:p w14:paraId="7CCEFE27" w14:textId="2ABFD4A2" w:rsidR="00CB2D3A" w:rsidRDefault="00CB2D3A" w:rsidP="00A3116A">
            <w:pPr>
              <w:pStyle w:val="Tabletext"/>
            </w:pPr>
            <w:r>
              <w:t>Title of exploration licence (e.g., EL number)</w:t>
            </w:r>
          </w:p>
        </w:tc>
        <w:tc>
          <w:tcPr>
            <w:tcW w:w="3722" w:type="pct"/>
            <w:gridSpan w:val="3"/>
          </w:tcPr>
          <w:p w14:paraId="2BF91CA6" w14:textId="77777777" w:rsidR="00CB2D3A" w:rsidRPr="009F4CAD" w:rsidRDefault="00CB2D3A" w:rsidP="00A3116A">
            <w:pPr>
              <w:pStyle w:val="Tabletext"/>
            </w:pPr>
          </w:p>
        </w:tc>
      </w:tr>
      <w:tr w:rsidR="00A3116A" w:rsidRPr="009F4CAD" w14:paraId="7C65E9F2" w14:textId="77777777" w:rsidTr="00CB2D3A">
        <w:tc>
          <w:tcPr>
            <w:tcW w:w="1278" w:type="pct"/>
          </w:tcPr>
          <w:p w14:paraId="40EFA027" w14:textId="236F9EB5" w:rsidR="00A3116A" w:rsidRPr="009F4CAD" w:rsidRDefault="00A3116A" w:rsidP="00A3116A">
            <w:pPr>
              <w:pStyle w:val="Tabletext"/>
            </w:pPr>
            <w:r>
              <w:t>Site address</w:t>
            </w:r>
          </w:p>
        </w:tc>
        <w:tc>
          <w:tcPr>
            <w:tcW w:w="3722" w:type="pct"/>
            <w:gridSpan w:val="3"/>
          </w:tcPr>
          <w:p w14:paraId="43DFD11C" w14:textId="76C3E374" w:rsidR="00A3116A" w:rsidRPr="009F4CAD" w:rsidRDefault="00A3116A" w:rsidP="00A3116A">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3116A" w:rsidRPr="009F4CAD" w14:paraId="1A2A1490" w14:textId="77777777" w:rsidTr="00CB2D3A">
        <w:tc>
          <w:tcPr>
            <w:tcW w:w="1278" w:type="pct"/>
          </w:tcPr>
          <w:p w14:paraId="6F2C9DF0" w14:textId="48C569A3" w:rsidR="00A3116A" w:rsidRPr="009F4CAD" w:rsidRDefault="00A3116A" w:rsidP="00A3116A">
            <w:pPr>
              <w:pStyle w:val="Tabletext"/>
            </w:pPr>
            <w:r>
              <w:t>Postal address</w:t>
            </w:r>
          </w:p>
        </w:tc>
        <w:tc>
          <w:tcPr>
            <w:tcW w:w="3722" w:type="pct"/>
            <w:gridSpan w:val="3"/>
          </w:tcPr>
          <w:p w14:paraId="1DB3EA23" w14:textId="332235FF" w:rsidR="00A3116A" w:rsidRPr="009F4CAD" w:rsidRDefault="00A3116A" w:rsidP="00A3116A">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3116A" w:rsidRPr="009F4CAD" w14:paraId="168AF140" w14:textId="77777777" w:rsidTr="00CB2D3A">
        <w:tc>
          <w:tcPr>
            <w:tcW w:w="1278" w:type="pct"/>
          </w:tcPr>
          <w:p w14:paraId="5641CB27" w14:textId="3287F151" w:rsidR="00A3116A" w:rsidRDefault="00A3116A" w:rsidP="00A3116A">
            <w:pPr>
              <w:pStyle w:val="Tabletext"/>
            </w:pPr>
            <w:r>
              <w:t>Suburb</w:t>
            </w:r>
          </w:p>
        </w:tc>
        <w:tc>
          <w:tcPr>
            <w:tcW w:w="1760" w:type="pct"/>
          </w:tcPr>
          <w:p w14:paraId="351B713C" w14:textId="77777777" w:rsidR="00A3116A" w:rsidRPr="009F4CAD" w:rsidRDefault="00A3116A" w:rsidP="00A3116A">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c>
          <w:tcPr>
            <w:tcW w:w="532" w:type="pct"/>
          </w:tcPr>
          <w:p w14:paraId="78D3CB02" w14:textId="59A404C4" w:rsidR="00A3116A" w:rsidRPr="009F4CAD" w:rsidRDefault="00A3116A" w:rsidP="00A3116A">
            <w:pPr>
              <w:pStyle w:val="Tabletext"/>
            </w:pPr>
            <w:r>
              <w:t>Postcode</w:t>
            </w:r>
          </w:p>
        </w:tc>
        <w:tc>
          <w:tcPr>
            <w:tcW w:w="1431" w:type="pct"/>
          </w:tcPr>
          <w:p w14:paraId="701FFF1D" w14:textId="77777777" w:rsidR="00A3116A" w:rsidRPr="009F4CAD" w:rsidRDefault="00A3116A" w:rsidP="00A3116A">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B22F59A" w14:textId="59257A0E" w:rsidR="00211C7E" w:rsidRDefault="00211C7E" w:rsidP="00211C7E">
      <w:pPr>
        <w:pStyle w:val="Headingnumbered2"/>
      </w:pPr>
      <w:r>
        <w:t>What are you notifying?</w:t>
      </w:r>
    </w:p>
    <w:tbl>
      <w:tblPr>
        <w:tblStyle w:val="ListTable4-Accent2"/>
        <w:tblW w:w="0" w:type="auto"/>
        <w:tblLook w:val="0620" w:firstRow="1" w:lastRow="0" w:firstColumn="0" w:lastColumn="0" w:noHBand="1" w:noVBand="1"/>
        <w:tblDescription w:val="Select your payment method"/>
      </w:tblPr>
      <w:tblGrid>
        <w:gridCol w:w="906"/>
        <w:gridCol w:w="9259"/>
      </w:tblGrid>
      <w:tr w:rsidR="00A3116A" w:rsidRPr="00A3116A" w14:paraId="6884AC35" w14:textId="77777777" w:rsidTr="00FC098D">
        <w:trPr>
          <w:cnfStyle w:val="100000000000" w:firstRow="1" w:lastRow="0" w:firstColumn="0" w:lastColumn="0" w:oddVBand="0" w:evenVBand="0" w:oddHBand="0" w:evenHBand="0" w:firstRowFirstColumn="0" w:firstRowLastColumn="0" w:lastRowFirstColumn="0" w:lastRowLastColumn="0"/>
        </w:trPr>
        <w:tc>
          <w:tcPr>
            <w:tcW w:w="906" w:type="dxa"/>
            <w:shd w:val="clear" w:color="auto" w:fill="auto"/>
          </w:tcPr>
          <w:p w14:paraId="6589BC05" w14:textId="77777777" w:rsidR="00A3116A" w:rsidRPr="00A3116A" w:rsidRDefault="00A3116A" w:rsidP="00A3116A">
            <w:pPr>
              <w:pStyle w:val="BodyText"/>
            </w:pPr>
            <w:r w:rsidRPr="00A3116A">
              <w:fldChar w:fldCharType="begin">
                <w:ffData>
                  <w:name w:val="Check68"/>
                  <w:enabled/>
                  <w:calcOnExit w:val="0"/>
                  <w:checkBox>
                    <w:sizeAuto/>
                    <w:default w:val="0"/>
                  </w:checkBox>
                </w:ffData>
              </w:fldChar>
            </w:r>
            <w:r w:rsidRPr="00A3116A">
              <w:instrText xml:space="preserve"> FORMCHECKBOX </w:instrText>
            </w:r>
            <w:r w:rsidRPr="00A3116A">
              <w:fldChar w:fldCharType="separate"/>
            </w:r>
            <w:r w:rsidRPr="00A3116A">
              <w:fldChar w:fldCharType="end"/>
            </w:r>
          </w:p>
        </w:tc>
        <w:tc>
          <w:tcPr>
            <w:tcW w:w="9259" w:type="dxa"/>
            <w:shd w:val="clear" w:color="auto" w:fill="auto"/>
          </w:tcPr>
          <w:p w14:paraId="7DA61BC7" w14:textId="54BD1E47" w:rsidR="00A3116A" w:rsidRPr="00FC098D" w:rsidRDefault="00DA506F" w:rsidP="00FC098D">
            <w:pPr>
              <w:pStyle w:val="Tabletext"/>
              <w:rPr>
                <w:b w:val="0"/>
                <w:bCs w:val="0"/>
              </w:rPr>
            </w:pPr>
            <w:r w:rsidRPr="00FC098D">
              <w:rPr>
                <w:b w:val="0"/>
                <w:bCs w:val="0"/>
              </w:rPr>
              <w:t>Commencement of exploration</w:t>
            </w:r>
          </w:p>
        </w:tc>
      </w:tr>
      <w:tr w:rsidR="00211C7E" w:rsidRPr="00A3116A" w14:paraId="4EFE4737" w14:textId="77777777" w:rsidTr="00211C7E">
        <w:tc>
          <w:tcPr>
            <w:tcW w:w="906" w:type="dxa"/>
          </w:tcPr>
          <w:p w14:paraId="650F4A5E" w14:textId="692B96EE" w:rsidR="00211C7E" w:rsidRPr="00A3116A" w:rsidRDefault="00211C7E" w:rsidP="00A3116A">
            <w:pPr>
              <w:pStyle w:val="BodyText"/>
            </w:pPr>
            <w:r w:rsidRPr="00A3116A">
              <w:fldChar w:fldCharType="begin">
                <w:ffData>
                  <w:name w:val="Check70"/>
                  <w:enabled/>
                  <w:calcOnExit w:val="0"/>
                  <w:checkBox>
                    <w:sizeAuto/>
                    <w:default w:val="0"/>
                  </w:checkBox>
                </w:ffData>
              </w:fldChar>
            </w:r>
            <w:r w:rsidRPr="00A3116A">
              <w:instrText xml:space="preserve"> FORMCHECKBOX </w:instrText>
            </w:r>
            <w:r w:rsidRPr="00A3116A">
              <w:fldChar w:fldCharType="separate"/>
            </w:r>
            <w:r w:rsidRPr="00A3116A">
              <w:fldChar w:fldCharType="end"/>
            </w:r>
          </w:p>
        </w:tc>
        <w:tc>
          <w:tcPr>
            <w:tcW w:w="9259" w:type="dxa"/>
          </w:tcPr>
          <w:p w14:paraId="663764E0" w14:textId="77777777" w:rsidR="00DA506F" w:rsidRPr="00DA506F" w:rsidRDefault="00DA506F" w:rsidP="00FC098D">
            <w:pPr>
              <w:pStyle w:val="Tabletext"/>
              <w:rPr>
                <w:lang w:val="en-US"/>
              </w:rPr>
            </w:pPr>
            <w:r w:rsidRPr="00DA506F">
              <w:rPr>
                <w:lang w:val="en-US"/>
              </w:rPr>
              <w:t xml:space="preserve">Significant interruption to, or suspension of, exploration </w:t>
            </w:r>
          </w:p>
          <w:p w14:paraId="16A4E552" w14:textId="67C24DEC" w:rsidR="00211C7E" w:rsidRPr="00A3116A" w:rsidRDefault="00DA506F" w:rsidP="00FC098D">
            <w:pPr>
              <w:pStyle w:val="Tabletext"/>
              <w:rPr>
                <w:lang w:val="en-US"/>
              </w:rPr>
            </w:pPr>
            <w:r w:rsidRPr="00DA506F">
              <w:rPr>
                <w:lang w:val="en-US"/>
              </w:rPr>
              <w:t>(Please describe the reasons for the interruption or suspension of exploration as well as any operations that are continuing at the exploration site. Attach additional information if required)</w:t>
            </w:r>
          </w:p>
        </w:tc>
      </w:tr>
      <w:tr w:rsidR="00211C7E" w:rsidRPr="00A3116A" w14:paraId="0BE3C1CE" w14:textId="77777777" w:rsidTr="00211C7E">
        <w:tc>
          <w:tcPr>
            <w:tcW w:w="906" w:type="dxa"/>
          </w:tcPr>
          <w:p w14:paraId="11999674" w14:textId="126E9EC3" w:rsidR="00211C7E" w:rsidRPr="00A3116A" w:rsidRDefault="00211C7E" w:rsidP="00A3116A">
            <w:pPr>
              <w:pStyle w:val="BodyText"/>
            </w:pPr>
            <w:r w:rsidRPr="00A3116A">
              <w:fldChar w:fldCharType="begin">
                <w:ffData>
                  <w:name w:val="Check70"/>
                  <w:enabled/>
                  <w:calcOnExit w:val="0"/>
                  <w:checkBox>
                    <w:sizeAuto/>
                    <w:default w:val="0"/>
                  </w:checkBox>
                </w:ffData>
              </w:fldChar>
            </w:r>
            <w:r w:rsidRPr="00A3116A">
              <w:instrText xml:space="preserve"> FORMCHECKBOX </w:instrText>
            </w:r>
            <w:r w:rsidRPr="00A3116A">
              <w:fldChar w:fldCharType="separate"/>
            </w:r>
            <w:r w:rsidRPr="00A3116A">
              <w:fldChar w:fldCharType="end"/>
            </w:r>
          </w:p>
        </w:tc>
        <w:tc>
          <w:tcPr>
            <w:tcW w:w="9259" w:type="dxa"/>
          </w:tcPr>
          <w:p w14:paraId="4C2D9617" w14:textId="3FF1D2FA" w:rsidR="00211C7E" w:rsidRPr="00A3116A" w:rsidRDefault="00DA506F" w:rsidP="00FC098D">
            <w:pPr>
              <w:pStyle w:val="Tabletext"/>
              <w:rPr>
                <w:lang w:val="en-US"/>
              </w:rPr>
            </w:pPr>
            <w:r w:rsidRPr="00DA506F">
              <w:rPr>
                <w:lang w:val="en-US"/>
              </w:rPr>
              <w:t>Recommencement of normal exploration</w:t>
            </w:r>
          </w:p>
        </w:tc>
      </w:tr>
      <w:tr w:rsidR="00211C7E" w:rsidRPr="00A3116A" w14:paraId="1AF997C6" w14:textId="77777777" w:rsidTr="00211C7E">
        <w:tc>
          <w:tcPr>
            <w:tcW w:w="906" w:type="dxa"/>
          </w:tcPr>
          <w:p w14:paraId="156A27DF" w14:textId="551769C6" w:rsidR="00211C7E" w:rsidRPr="00A3116A" w:rsidRDefault="00211C7E" w:rsidP="00A3116A">
            <w:pPr>
              <w:pStyle w:val="BodyText"/>
            </w:pPr>
            <w:r w:rsidRPr="00A3116A">
              <w:fldChar w:fldCharType="begin">
                <w:ffData>
                  <w:name w:val="Check70"/>
                  <w:enabled/>
                  <w:calcOnExit w:val="0"/>
                  <w:checkBox>
                    <w:sizeAuto/>
                    <w:default w:val="0"/>
                  </w:checkBox>
                </w:ffData>
              </w:fldChar>
            </w:r>
            <w:r w:rsidRPr="00A3116A">
              <w:instrText xml:space="preserve"> FORMCHECKBOX </w:instrText>
            </w:r>
            <w:r w:rsidRPr="00A3116A">
              <w:fldChar w:fldCharType="separate"/>
            </w:r>
            <w:r w:rsidRPr="00A3116A">
              <w:fldChar w:fldCharType="end"/>
            </w:r>
          </w:p>
        </w:tc>
        <w:tc>
          <w:tcPr>
            <w:tcW w:w="9259" w:type="dxa"/>
          </w:tcPr>
          <w:p w14:paraId="24884631" w14:textId="7A1EE5B7" w:rsidR="00211C7E" w:rsidRPr="00A3116A" w:rsidRDefault="00DA506F" w:rsidP="00FC098D">
            <w:pPr>
              <w:pStyle w:val="Tabletext"/>
              <w:rPr>
                <w:lang w:val="en-US"/>
              </w:rPr>
            </w:pPr>
            <w:r w:rsidRPr="00DA506F">
              <w:rPr>
                <w:lang w:val="en-US"/>
              </w:rPr>
              <w:t>Closure of the exploration site (e.g., when all rehabilitation is completed)</w:t>
            </w:r>
          </w:p>
        </w:tc>
      </w:tr>
    </w:tbl>
    <w:p w14:paraId="03150559" w14:textId="77777777" w:rsidR="00F03C85" w:rsidRDefault="00F03C85" w:rsidP="00F03C85">
      <w:pPr>
        <w:pStyle w:val="BodyText"/>
      </w:pPr>
    </w:p>
    <w:p w14:paraId="6161739E" w14:textId="587AD9C2" w:rsidR="00FC098D" w:rsidRDefault="00F03C85" w:rsidP="00FC098D">
      <w:pPr>
        <w:pStyle w:val="Headingnumbered1"/>
      </w:pPr>
      <w:r>
        <w:br w:type="column"/>
      </w:r>
      <w:r w:rsidR="00FC098D">
        <w:lastRenderedPageBreak/>
        <w:t>Details of exploration</w:t>
      </w:r>
    </w:p>
    <w:p w14:paraId="62AE8F81" w14:textId="70BAF936" w:rsidR="00AB1037" w:rsidRDefault="00FC098D" w:rsidP="00FC098D">
      <w:pPr>
        <w:pStyle w:val="BodyText"/>
      </w:pPr>
      <w:r w:rsidRPr="00FC098D">
        <w:t>If notifying the Regulator of any proposed material change to information previously supplied, sections 2 and 3 must be completed, but any fields where the information has not changed may be left blank.</w:t>
      </w:r>
    </w:p>
    <w:tbl>
      <w:tblPr>
        <w:tblStyle w:val="ListTable4-Accent2"/>
        <w:tblW w:w="5000" w:type="pct"/>
        <w:tblLook w:val="0620" w:firstRow="1" w:lastRow="0" w:firstColumn="0" w:lastColumn="0" w:noHBand="1" w:noVBand="1"/>
        <w:tblDescription w:val="Contact details"/>
      </w:tblPr>
      <w:tblGrid>
        <w:gridCol w:w="2695"/>
        <w:gridCol w:w="1890"/>
        <w:gridCol w:w="5609"/>
      </w:tblGrid>
      <w:tr w:rsidR="00211C7E" w:rsidRPr="00211C7E" w14:paraId="4480DC81" w14:textId="77777777" w:rsidTr="00792AAA">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3F6C9AF1" w14:textId="763E08DE" w:rsidR="00211C7E" w:rsidRPr="00FC098D" w:rsidRDefault="00FC098D" w:rsidP="00FC098D">
            <w:pPr>
              <w:pStyle w:val="Tableheader"/>
              <w:rPr>
                <w:rFonts w:eastAsiaTheme="minorEastAsia" w:cstheme="minorBidi"/>
                <w:b/>
                <w:bCs w:val="0"/>
                <w:color w:val="22272B" w:themeColor="text1"/>
                <w:sz w:val="22"/>
              </w:rPr>
            </w:pPr>
            <w:r w:rsidRPr="00FC098D">
              <w:rPr>
                <w:b/>
                <w:bCs w:val="0"/>
              </w:rPr>
              <w:t>Exploration site</w:t>
            </w:r>
          </w:p>
        </w:tc>
      </w:tr>
      <w:tr w:rsidR="00211C7E" w:rsidRPr="00211C7E" w14:paraId="392E07AE" w14:textId="77777777" w:rsidTr="00CB2D3A">
        <w:tc>
          <w:tcPr>
            <w:tcW w:w="1322" w:type="pct"/>
          </w:tcPr>
          <w:p w14:paraId="1E98093F" w14:textId="3C1A8F8C" w:rsidR="00211C7E" w:rsidRPr="00211C7E" w:rsidRDefault="00FC098D" w:rsidP="00FC098D">
            <w:pPr>
              <w:pStyle w:val="Tabletext"/>
              <w:rPr>
                <w:rFonts w:eastAsiaTheme="minorEastAsia"/>
                <w:color w:val="22272B" w:themeColor="text1"/>
                <w:sz w:val="22"/>
                <w:szCs w:val="22"/>
              </w:rPr>
            </w:pPr>
            <w:r w:rsidRPr="00FC098D">
              <w:t>Proposed date of commencing exploration.</w:t>
            </w:r>
          </w:p>
        </w:tc>
        <w:tc>
          <w:tcPr>
            <w:tcW w:w="3678" w:type="pct"/>
            <w:gridSpan w:val="2"/>
          </w:tcPr>
          <w:p w14:paraId="49A77B32" w14:textId="77777777" w:rsidR="00211C7E" w:rsidRPr="00211C7E" w:rsidRDefault="00211C7E" w:rsidP="00211C7E">
            <w:pPr>
              <w:pStyle w:val="BodyText"/>
            </w:pPr>
            <w:r w:rsidRPr="00211C7E">
              <w:fldChar w:fldCharType="begin">
                <w:ffData>
                  <w:name w:val="Text233"/>
                  <w:enabled/>
                  <w:calcOnExit w:val="0"/>
                  <w:textInput/>
                </w:ffData>
              </w:fldChar>
            </w:r>
            <w:r w:rsidRPr="00211C7E">
              <w:instrText xml:space="preserve"> FORMTEXT </w:instrText>
            </w:r>
            <w:r w:rsidRPr="00211C7E">
              <w:fldChar w:fldCharType="separate"/>
            </w:r>
            <w:r w:rsidRPr="00211C7E">
              <w:t> </w:t>
            </w:r>
            <w:r w:rsidRPr="00211C7E">
              <w:t> </w:t>
            </w:r>
            <w:r w:rsidRPr="00211C7E">
              <w:t> </w:t>
            </w:r>
            <w:r w:rsidRPr="00211C7E">
              <w:t> </w:t>
            </w:r>
            <w:r w:rsidRPr="00211C7E">
              <w:t> </w:t>
            </w:r>
            <w:r w:rsidRPr="00211C7E">
              <w:fldChar w:fldCharType="end"/>
            </w:r>
          </w:p>
        </w:tc>
      </w:tr>
      <w:tr w:rsidR="00211C7E" w:rsidRPr="00211C7E" w14:paraId="590DF872" w14:textId="77777777" w:rsidTr="00CB2D3A">
        <w:trPr>
          <w:trHeight w:val="957"/>
        </w:trPr>
        <w:tc>
          <w:tcPr>
            <w:tcW w:w="1322" w:type="pct"/>
          </w:tcPr>
          <w:p w14:paraId="35E961DF" w14:textId="61883B09" w:rsidR="00211C7E" w:rsidRPr="00211C7E" w:rsidRDefault="00FC098D" w:rsidP="000732DF">
            <w:pPr>
              <w:pStyle w:val="Tabletext"/>
              <w:rPr>
                <w:rFonts w:eastAsiaTheme="minorEastAsia"/>
                <w:color w:val="22272B" w:themeColor="text1"/>
                <w:sz w:val="22"/>
                <w:szCs w:val="22"/>
              </w:rPr>
            </w:pPr>
            <w:r>
              <w:t>GPS co-ordinates of the area covered by the exploration.</w:t>
            </w:r>
          </w:p>
        </w:tc>
        <w:tc>
          <w:tcPr>
            <w:tcW w:w="3678" w:type="pct"/>
            <w:gridSpan w:val="2"/>
          </w:tcPr>
          <w:p w14:paraId="555C82AD" w14:textId="77777777" w:rsidR="00211C7E" w:rsidRPr="00211C7E" w:rsidRDefault="00211C7E" w:rsidP="00211C7E">
            <w:pPr>
              <w:pStyle w:val="BodyText"/>
            </w:pPr>
            <w:r w:rsidRPr="00211C7E">
              <w:fldChar w:fldCharType="begin">
                <w:ffData>
                  <w:name w:val="Text234"/>
                  <w:enabled/>
                  <w:calcOnExit w:val="0"/>
                  <w:textInput/>
                </w:ffData>
              </w:fldChar>
            </w:r>
            <w:r w:rsidRPr="00211C7E">
              <w:instrText xml:space="preserve"> FORMTEXT </w:instrText>
            </w:r>
            <w:r w:rsidRPr="00211C7E">
              <w:fldChar w:fldCharType="separate"/>
            </w:r>
            <w:r w:rsidRPr="00211C7E">
              <w:t> </w:t>
            </w:r>
            <w:r w:rsidRPr="00211C7E">
              <w:t> </w:t>
            </w:r>
            <w:r w:rsidRPr="00211C7E">
              <w:t> </w:t>
            </w:r>
            <w:r w:rsidRPr="00211C7E">
              <w:t> </w:t>
            </w:r>
            <w:r w:rsidRPr="00211C7E">
              <w:t> </w:t>
            </w:r>
            <w:r w:rsidRPr="00211C7E">
              <w:fldChar w:fldCharType="end"/>
            </w:r>
          </w:p>
        </w:tc>
      </w:tr>
      <w:tr w:rsidR="00FC098D" w:rsidRPr="00211C7E" w14:paraId="6CD94B70" w14:textId="77777777" w:rsidTr="00CB2D3A">
        <w:tc>
          <w:tcPr>
            <w:tcW w:w="1322" w:type="pct"/>
          </w:tcPr>
          <w:p w14:paraId="6C0A2C81" w14:textId="3BBA6A82" w:rsidR="00FC098D" w:rsidRPr="00211C7E" w:rsidRDefault="00FC098D" w:rsidP="00FC098D">
            <w:pPr>
              <w:pStyle w:val="Tabletext"/>
            </w:pPr>
            <w:r w:rsidRPr="00FC098D">
              <w:t>Provide details of the scope, character, and location of the exploration</w:t>
            </w:r>
          </w:p>
        </w:tc>
        <w:tc>
          <w:tcPr>
            <w:tcW w:w="3678" w:type="pct"/>
            <w:gridSpan w:val="2"/>
          </w:tcPr>
          <w:p w14:paraId="5D5A50C4" w14:textId="1806C7A7" w:rsidR="00FC098D" w:rsidRPr="00211C7E" w:rsidRDefault="00FC098D" w:rsidP="00211C7E">
            <w:pPr>
              <w:pStyle w:val="BodyText"/>
            </w:pPr>
            <w:r w:rsidRPr="00211C7E">
              <w:fldChar w:fldCharType="begin">
                <w:ffData>
                  <w:name w:val="Text233"/>
                  <w:enabled/>
                  <w:calcOnExit w:val="0"/>
                  <w:textInput/>
                </w:ffData>
              </w:fldChar>
            </w:r>
            <w:r w:rsidRPr="00211C7E">
              <w:instrText xml:space="preserve"> FORMTEXT </w:instrText>
            </w:r>
            <w:r w:rsidRPr="00211C7E">
              <w:fldChar w:fldCharType="separate"/>
            </w:r>
            <w:r w:rsidRPr="00211C7E">
              <w:t> </w:t>
            </w:r>
            <w:r w:rsidRPr="00211C7E">
              <w:t> </w:t>
            </w:r>
            <w:r w:rsidRPr="00211C7E">
              <w:t> </w:t>
            </w:r>
            <w:r w:rsidRPr="00211C7E">
              <w:t> </w:t>
            </w:r>
            <w:r w:rsidRPr="00211C7E">
              <w:t> </w:t>
            </w:r>
            <w:r w:rsidRPr="00211C7E">
              <w:fldChar w:fldCharType="end"/>
            </w:r>
          </w:p>
        </w:tc>
      </w:tr>
      <w:tr w:rsidR="000F66BF" w:rsidRPr="00211C7E" w14:paraId="3803A59A" w14:textId="77777777" w:rsidTr="00CB2D3A">
        <w:tc>
          <w:tcPr>
            <w:tcW w:w="1322" w:type="pct"/>
          </w:tcPr>
          <w:p w14:paraId="591D070B" w14:textId="2983B276" w:rsidR="000F66BF" w:rsidRPr="00211C7E" w:rsidRDefault="000F66BF" w:rsidP="00FC098D">
            <w:pPr>
              <w:pStyle w:val="Tabletext"/>
            </w:pPr>
            <w:r w:rsidRPr="00FC098D">
              <w:t>What minerals or petroleum are being explored?</w:t>
            </w:r>
          </w:p>
        </w:tc>
        <w:tc>
          <w:tcPr>
            <w:tcW w:w="927" w:type="pct"/>
            <w:shd w:val="clear" w:color="auto" w:fill="FFFFFF" w:themeFill="background1"/>
          </w:tcPr>
          <w:p w14:paraId="284141EE" w14:textId="17E61B2A" w:rsidR="000F66BF" w:rsidRPr="000732DF" w:rsidRDefault="00CB2D3A" w:rsidP="00211C7E">
            <w:pPr>
              <w:pStyle w:val="BodyText"/>
              <w:rPr>
                <w:sz w:val="20"/>
                <w:szCs w:val="20"/>
              </w:rPr>
            </w:pPr>
            <w:r w:rsidRPr="00CB2D3A">
              <w:rPr>
                <w:sz w:val="20"/>
                <w:szCs w:val="20"/>
              </w:rPr>
              <w:fldChar w:fldCharType="begin">
                <w:ffData>
                  <w:name w:val="Check68"/>
                  <w:enabled/>
                  <w:calcOnExit w:val="0"/>
                  <w:checkBox>
                    <w:sizeAuto/>
                    <w:default w:val="0"/>
                  </w:checkBox>
                </w:ffData>
              </w:fldChar>
            </w:r>
            <w:r w:rsidRPr="00CB2D3A">
              <w:rPr>
                <w:sz w:val="20"/>
                <w:szCs w:val="20"/>
              </w:rPr>
              <w:instrText xml:space="preserve"> FORMCHECKBOX </w:instrText>
            </w:r>
            <w:r w:rsidRPr="00CB2D3A">
              <w:rPr>
                <w:sz w:val="20"/>
                <w:szCs w:val="20"/>
              </w:rPr>
            </w:r>
            <w:r w:rsidRPr="00CB2D3A">
              <w:rPr>
                <w:sz w:val="20"/>
                <w:szCs w:val="20"/>
              </w:rPr>
              <w:fldChar w:fldCharType="separate"/>
            </w:r>
            <w:r w:rsidRPr="00CB2D3A">
              <w:rPr>
                <w:sz w:val="20"/>
                <w:szCs w:val="20"/>
              </w:rPr>
              <w:fldChar w:fldCharType="end"/>
            </w:r>
            <w:r>
              <w:rPr>
                <w:sz w:val="20"/>
                <w:szCs w:val="20"/>
              </w:rPr>
              <w:t xml:space="preserve"> </w:t>
            </w:r>
            <w:r w:rsidR="000F66BF" w:rsidRPr="000732DF">
              <w:rPr>
                <w:sz w:val="20"/>
                <w:szCs w:val="20"/>
              </w:rPr>
              <w:t>Coal</w:t>
            </w:r>
          </w:p>
          <w:p w14:paraId="341D337E" w14:textId="499501EA" w:rsidR="000F66BF" w:rsidRPr="00211C7E" w:rsidRDefault="00CB2D3A" w:rsidP="00211C7E">
            <w:pPr>
              <w:pStyle w:val="BodyText"/>
            </w:pPr>
            <w:r w:rsidRPr="00CB2D3A">
              <w:rPr>
                <w:sz w:val="20"/>
                <w:szCs w:val="20"/>
              </w:rPr>
              <w:fldChar w:fldCharType="begin">
                <w:ffData>
                  <w:name w:val="Check68"/>
                  <w:enabled/>
                  <w:calcOnExit w:val="0"/>
                  <w:checkBox>
                    <w:sizeAuto/>
                    <w:default w:val="0"/>
                  </w:checkBox>
                </w:ffData>
              </w:fldChar>
            </w:r>
            <w:r w:rsidRPr="00CB2D3A">
              <w:rPr>
                <w:sz w:val="20"/>
                <w:szCs w:val="20"/>
              </w:rPr>
              <w:instrText xml:space="preserve"> FORMCHECKBOX </w:instrText>
            </w:r>
            <w:r w:rsidRPr="00CB2D3A">
              <w:rPr>
                <w:sz w:val="20"/>
                <w:szCs w:val="20"/>
              </w:rPr>
            </w:r>
            <w:r w:rsidRPr="00CB2D3A">
              <w:rPr>
                <w:sz w:val="20"/>
                <w:szCs w:val="20"/>
              </w:rPr>
              <w:fldChar w:fldCharType="separate"/>
            </w:r>
            <w:r w:rsidRPr="00CB2D3A">
              <w:rPr>
                <w:sz w:val="20"/>
                <w:szCs w:val="20"/>
              </w:rPr>
              <w:fldChar w:fldCharType="end"/>
            </w:r>
            <w:r>
              <w:rPr>
                <w:sz w:val="20"/>
                <w:szCs w:val="20"/>
              </w:rPr>
              <w:t xml:space="preserve"> </w:t>
            </w:r>
            <w:r w:rsidR="000F66BF" w:rsidRPr="000732DF">
              <w:rPr>
                <w:sz w:val="20"/>
                <w:szCs w:val="20"/>
              </w:rPr>
              <w:t>Petroleum</w:t>
            </w:r>
          </w:p>
        </w:tc>
        <w:tc>
          <w:tcPr>
            <w:tcW w:w="2751" w:type="pct"/>
            <w:shd w:val="clear" w:color="auto" w:fill="FFFFFF" w:themeFill="background1"/>
          </w:tcPr>
          <w:p w14:paraId="49A41D44" w14:textId="24C01929" w:rsidR="000F66BF" w:rsidRPr="00211C7E" w:rsidRDefault="00CB2D3A" w:rsidP="00211C7E">
            <w:pPr>
              <w:pStyle w:val="BodyText"/>
            </w:pPr>
            <w:r>
              <w:rPr>
                <w:sz w:val="20"/>
                <w:szCs w:val="20"/>
              </w:rPr>
              <w:t xml:space="preserve"> </w:t>
            </w:r>
            <w:r w:rsidRPr="00CB2D3A">
              <w:rPr>
                <w:sz w:val="20"/>
                <w:szCs w:val="20"/>
              </w:rPr>
              <w:fldChar w:fldCharType="begin">
                <w:ffData>
                  <w:name w:val="Check68"/>
                  <w:enabled/>
                  <w:calcOnExit w:val="0"/>
                  <w:checkBox>
                    <w:sizeAuto/>
                    <w:default w:val="0"/>
                  </w:checkBox>
                </w:ffData>
              </w:fldChar>
            </w:r>
            <w:r w:rsidRPr="00CB2D3A">
              <w:rPr>
                <w:sz w:val="20"/>
                <w:szCs w:val="20"/>
              </w:rPr>
              <w:instrText xml:space="preserve"> FORMCHECKBOX </w:instrText>
            </w:r>
            <w:r w:rsidRPr="00CB2D3A">
              <w:rPr>
                <w:sz w:val="20"/>
                <w:szCs w:val="20"/>
              </w:rPr>
            </w:r>
            <w:r w:rsidRPr="00CB2D3A">
              <w:rPr>
                <w:sz w:val="20"/>
                <w:szCs w:val="20"/>
              </w:rPr>
              <w:fldChar w:fldCharType="separate"/>
            </w:r>
            <w:r w:rsidRPr="00CB2D3A">
              <w:rPr>
                <w:sz w:val="20"/>
                <w:szCs w:val="20"/>
              </w:rPr>
              <w:fldChar w:fldCharType="end"/>
            </w:r>
            <w:r>
              <w:rPr>
                <w:sz w:val="20"/>
                <w:szCs w:val="20"/>
              </w:rPr>
              <w:t xml:space="preserve"> </w:t>
            </w:r>
            <w:r w:rsidR="000F66BF" w:rsidRPr="000732DF">
              <w:rPr>
                <w:sz w:val="20"/>
                <w:szCs w:val="20"/>
              </w:rPr>
              <w:t>Other mineral or quarry product</w:t>
            </w:r>
          </w:p>
        </w:tc>
      </w:tr>
    </w:tbl>
    <w:p w14:paraId="37C637CF" w14:textId="58C92547" w:rsidR="00A3116A" w:rsidRDefault="00995093" w:rsidP="00995093">
      <w:pPr>
        <w:pStyle w:val="Headingnumbered1"/>
      </w:pPr>
      <w:r>
        <w:t>Declaration</w:t>
      </w:r>
    </w:p>
    <w:p w14:paraId="0821C6F3" w14:textId="77777777" w:rsidR="00995093" w:rsidRDefault="00995093" w:rsidP="00995093">
      <w:pPr>
        <w:pStyle w:val="BodyText"/>
      </w:pPr>
      <w:r>
        <w:t>I declare that:</w:t>
      </w:r>
    </w:p>
    <w:p w14:paraId="12DA1AE4" w14:textId="126554AE" w:rsidR="00995093" w:rsidRDefault="00995093" w:rsidP="00995093">
      <w:pPr>
        <w:pStyle w:val="ListBullet"/>
      </w:pPr>
      <w:r>
        <w:t>I have authority from the mine operator / petroleum site operator to complete and submit this form on their behalf.</w:t>
      </w:r>
    </w:p>
    <w:p w14:paraId="544662A9" w14:textId="0AD20413" w:rsidR="00995093" w:rsidRDefault="00995093" w:rsidP="00995093">
      <w:pPr>
        <w:pStyle w:val="ListBullet"/>
      </w:pPr>
      <w:r>
        <w:t>to the best of my knowledge, the information provided in this form, and any attachment to this form, is true and correct in every detail.</w:t>
      </w:r>
    </w:p>
    <w:tbl>
      <w:tblPr>
        <w:tblStyle w:val="ListTable4-Accent2"/>
        <w:tblW w:w="5078" w:type="pct"/>
        <w:tblLook w:val="0620" w:firstRow="1" w:lastRow="0" w:firstColumn="0" w:lastColumn="0" w:noHBand="1" w:noVBand="1"/>
        <w:tblDescription w:val="1st Applicant/s details"/>
      </w:tblPr>
      <w:tblGrid>
        <w:gridCol w:w="2424"/>
        <w:gridCol w:w="4953"/>
        <w:gridCol w:w="1168"/>
        <w:gridCol w:w="1808"/>
      </w:tblGrid>
      <w:tr w:rsidR="00D603B9" w14:paraId="37F17836" w14:textId="77777777" w:rsidTr="0099509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26B63A90" w14:textId="77777777" w:rsidR="00D603B9" w:rsidRPr="00FF61A2" w:rsidRDefault="00D603B9" w:rsidP="00AA1A58">
            <w:pPr>
              <w:pStyle w:val="Tableheader"/>
              <w:rPr>
                <w:b/>
              </w:rPr>
            </w:pPr>
            <w:r w:rsidRPr="00AA1A58">
              <w:rPr>
                <w:b/>
              </w:rPr>
              <w:t xml:space="preserve">Note: Giving false or misleading information is a serious offence under section 268 of the </w:t>
            </w:r>
            <w:r w:rsidRPr="00AA1A58">
              <w:rPr>
                <w:b/>
                <w:i/>
                <w:iCs/>
              </w:rPr>
              <w:t>Work Health and Safety Act 2011</w:t>
            </w:r>
            <w:r w:rsidRPr="00AA1A58">
              <w:rPr>
                <w:b/>
              </w:rPr>
              <w:t xml:space="preserve">, and Part 5A of the </w:t>
            </w:r>
            <w:r w:rsidRPr="00AA1A58">
              <w:rPr>
                <w:b/>
                <w:i/>
                <w:iCs/>
              </w:rPr>
              <w:t>Crimes Act 1900</w:t>
            </w:r>
          </w:p>
        </w:tc>
      </w:tr>
      <w:tr w:rsidR="00D603B9" w14:paraId="308EFEDF" w14:textId="77777777" w:rsidTr="00995093">
        <w:tc>
          <w:tcPr>
            <w:tcW w:w="1171" w:type="pct"/>
          </w:tcPr>
          <w:p w14:paraId="459D778C" w14:textId="2B2AD57B" w:rsidR="00D603B9" w:rsidRPr="00AA1A58" w:rsidRDefault="00995093" w:rsidP="00AA1A58">
            <w:pPr>
              <w:pStyle w:val="Tabletext"/>
            </w:pPr>
            <w:r>
              <w:t>Name</w:t>
            </w:r>
          </w:p>
        </w:tc>
        <w:tc>
          <w:tcPr>
            <w:tcW w:w="3829" w:type="pct"/>
            <w:gridSpan w:val="3"/>
          </w:tcPr>
          <w:p w14:paraId="45001E16" w14:textId="77777777" w:rsidR="00D603B9" w:rsidRPr="00AA1A58" w:rsidRDefault="00D603B9" w:rsidP="00AA1A58">
            <w:pPr>
              <w:pStyle w:val="Tabletext"/>
            </w:pPr>
            <w:r w:rsidRPr="00AA1A58">
              <w:fldChar w:fldCharType="begin">
                <w:ffData>
                  <w:name w:val="Text259"/>
                  <w:enabled/>
                  <w:calcOnExit w:val="0"/>
                  <w:textInput/>
                </w:ffData>
              </w:fldChar>
            </w:r>
            <w:r w:rsidRPr="00AA1A58">
              <w:instrText xml:space="preserve"> FORMTEXT </w:instrText>
            </w:r>
            <w:r w:rsidRPr="00AA1A58">
              <w:fldChar w:fldCharType="separate"/>
            </w:r>
            <w:r w:rsidRPr="00AA1A58">
              <w:t> </w:t>
            </w:r>
            <w:r w:rsidRPr="00AA1A58">
              <w:t> </w:t>
            </w:r>
            <w:r w:rsidRPr="00AA1A58">
              <w:t> </w:t>
            </w:r>
            <w:r w:rsidRPr="00AA1A58">
              <w:t> </w:t>
            </w:r>
            <w:r w:rsidRPr="00AA1A58">
              <w:t> </w:t>
            </w:r>
            <w:r w:rsidRPr="00AA1A58">
              <w:fldChar w:fldCharType="end"/>
            </w:r>
          </w:p>
        </w:tc>
      </w:tr>
      <w:tr w:rsidR="00D603B9" w14:paraId="1B42A25C" w14:textId="77777777" w:rsidTr="00995093">
        <w:tc>
          <w:tcPr>
            <w:tcW w:w="1171" w:type="pct"/>
            <w:vAlign w:val="center"/>
          </w:tcPr>
          <w:p w14:paraId="580B6553" w14:textId="11835FF1" w:rsidR="00D603B9" w:rsidRPr="00AA1A58" w:rsidRDefault="00995093" w:rsidP="00AA1A58">
            <w:pPr>
              <w:pStyle w:val="Tabletext"/>
            </w:pPr>
            <w:r>
              <w:t>Position/title</w:t>
            </w:r>
          </w:p>
        </w:tc>
        <w:tc>
          <w:tcPr>
            <w:tcW w:w="3829" w:type="pct"/>
            <w:gridSpan w:val="3"/>
          </w:tcPr>
          <w:p w14:paraId="483B052E" w14:textId="3C988797" w:rsidR="00D603B9"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r>
      <w:tr w:rsidR="00D603B9" w14:paraId="07A9D441" w14:textId="77777777" w:rsidTr="00995093">
        <w:tc>
          <w:tcPr>
            <w:tcW w:w="1171" w:type="pct"/>
            <w:vAlign w:val="center"/>
          </w:tcPr>
          <w:p w14:paraId="665B656F" w14:textId="39123905" w:rsidR="00D603B9" w:rsidRPr="00AA1A58" w:rsidRDefault="00995093" w:rsidP="00AA1A58">
            <w:pPr>
              <w:pStyle w:val="Tabletext"/>
            </w:pPr>
            <w:r>
              <w:t>Email address</w:t>
            </w:r>
          </w:p>
        </w:tc>
        <w:tc>
          <w:tcPr>
            <w:tcW w:w="3829" w:type="pct"/>
            <w:gridSpan w:val="3"/>
          </w:tcPr>
          <w:p w14:paraId="5B4F2E23" w14:textId="77777777" w:rsidR="00D603B9" w:rsidRPr="00AA1A58" w:rsidRDefault="00D603B9" w:rsidP="00AA1A58">
            <w:pPr>
              <w:pStyle w:val="Tabletext"/>
            </w:pPr>
            <w:r w:rsidRPr="00AA1A58">
              <w:fldChar w:fldCharType="begin">
                <w:ffData>
                  <w:name w:val="Text136"/>
                  <w:enabled/>
                  <w:calcOnExit w:val="0"/>
                  <w:textInput/>
                </w:ffData>
              </w:fldChar>
            </w:r>
            <w:r w:rsidRPr="00AA1A58">
              <w:instrText xml:space="preserve"> FORMTEXT </w:instrText>
            </w:r>
            <w:r w:rsidRPr="00AA1A58">
              <w:fldChar w:fldCharType="separate"/>
            </w:r>
            <w:r w:rsidRPr="00AA1A58">
              <w:t> </w:t>
            </w:r>
            <w:r w:rsidRPr="00AA1A58">
              <w:t> </w:t>
            </w:r>
            <w:r w:rsidRPr="00AA1A58">
              <w:t> </w:t>
            </w:r>
            <w:r w:rsidRPr="00AA1A58">
              <w:t> </w:t>
            </w:r>
            <w:r w:rsidRPr="00AA1A58">
              <w:t> </w:t>
            </w:r>
            <w:r w:rsidRPr="00AA1A58">
              <w:fldChar w:fldCharType="end"/>
            </w:r>
          </w:p>
        </w:tc>
      </w:tr>
      <w:tr w:rsidR="00995093" w14:paraId="0F2052B4" w14:textId="77777777" w:rsidTr="00995093">
        <w:tc>
          <w:tcPr>
            <w:tcW w:w="1171" w:type="pct"/>
            <w:vAlign w:val="center"/>
          </w:tcPr>
          <w:p w14:paraId="068E683D" w14:textId="17DB40DD" w:rsidR="00995093" w:rsidRDefault="00995093" w:rsidP="00AA1A58">
            <w:pPr>
              <w:pStyle w:val="Tabletext"/>
            </w:pPr>
            <w:r>
              <w:t>Postal address</w:t>
            </w:r>
          </w:p>
        </w:tc>
        <w:tc>
          <w:tcPr>
            <w:tcW w:w="3829" w:type="pct"/>
            <w:gridSpan w:val="3"/>
          </w:tcPr>
          <w:p w14:paraId="204195E6" w14:textId="3C8E96BF" w:rsidR="00995093"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r>
      <w:tr w:rsidR="00995093" w14:paraId="77157B15" w14:textId="77777777" w:rsidTr="00995093">
        <w:tc>
          <w:tcPr>
            <w:tcW w:w="1171" w:type="pct"/>
            <w:vAlign w:val="center"/>
          </w:tcPr>
          <w:p w14:paraId="0D54D9CE" w14:textId="61F0C31B" w:rsidR="00995093" w:rsidRDefault="00995093" w:rsidP="00AA1A58">
            <w:pPr>
              <w:pStyle w:val="Tabletext"/>
            </w:pPr>
            <w:r>
              <w:t>Suburb</w:t>
            </w:r>
          </w:p>
        </w:tc>
        <w:tc>
          <w:tcPr>
            <w:tcW w:w="2392" w:type="pct"/>
          </w:tcPr>
          <w:p w14:paraId="6299CCA6" w14:textId="63BFF358" w:rsidR="00995093"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c>
          <w:tcPr>
            <w:tcW w:w="564" w:type="pct"/>
          </w:tcPr>
          <w:p w14:paraId="7707A62D" w14:textId="5F8FABCE" w:rsidR="00995093" w:rsidRPr="00AA1A58" w:rsidRDefault="00995093" w:rsidP="00AA1A58">
            <w:pPr>
              <w:pStyle w:val="Tabletext"/>
            </w:pPr>
            <w:r>
              <w:t>Postcode</w:t>
            </w:r>
          </w:p>
        </w:tc>
        <w:tc>
          <w:tcPr>
            <w:tcW w:w="872" w:type="pct"/>
          </w:tcPr>
          <w:p w14:paraId="0B347913" w14:textId="42EA5EC6" w:rsidR="00995093"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r>
      <w:tr w:rsidR="00995093" w14:paraId="078F03CA" w14:textId="77777777" w:rsidTr="00995093">
        <w:tc>
          <w:tcPr>
            <w:tcW w:w="1171" w:type="pct"/>
          </w:tcPr>
          <w:p w14:paraId="1940656F" w14:textId="7B296C31" w:rsidR="00995093" w:rsidRPr="00AA1A58" w:rsidRDefault="00995093" w:rsidP="00AA1A58">
            <w:pPr>
              <w:pStyle w:val="Tabletext"/>
            </w:pPr>
            <w:r>
              <w:t>Telephone</w:t>
            </w:r>
          </w:p>
        </w:tc>
        <w:tc>
          <w:tcPr>
            <w:tcW w:w="2392" w:type="pct"/>
          </w:tcPr>
          <w:p w14:paraId="2F884670" w14:textId="77777777" w:rsidR="00995093" w:rsidRPr="00AA1A58" w:rsidRDefault="00995093" w:rsidP="00AA1A58">
            <w:pPr>
              <w:pStyle w:val="Tabletext"/>
            </w:pPr>
            <w:r w:rsidRPr="00AA1A58">
              <w:fldChar w:fldCharType="begin">
                <w:ffData>
                  <w:name w:val="Text136"/>
                  <w:enabled/>
                  <w:calcOnExit w:val="0"/>
                  <w:textInput/>
                </w:ffData>
              </w:fldChar>
            </w:r>
            <w:r w:rsidRPr="00AA1A58">
              <w:instrText xml:space="preserve"> FORMTEXT </w:instrText>
            </w:r>
            <w:r w:rsidRPr="00AA1A58">
              <w:fldChar w:fldCharType="separate"/>
            </w:r>
            <w:r w:rsidRPr="00AA1A58">
              <w:t> </w:t>
            </w:r>
            <w:r w:rsidRPr="00AA1A58">
              <w:t> </w:t>
            </w:r>
            <w:r w:rsidRPr="00AA1A58">
              <w:t> </w:t>
            </w:r>
            <w:r w:rsidRPr="00AA1A58">
              <w:t> </w:t>
            </w:r>
            <w:r w:rsidRPr="00AA1A58">
              <w:t> </w:t>
            </w:r>
            <w:r w:rsidRPr="00AA1A58">
              <w:fldChar w:fldCharType="end"/>
            </w:r>
          </w:p>
        </w:tc>
        <w:tc>
          <w:tcPr>
            <w:tcW w:w="564" w:type="pct"/>
          </w:tcPr>
          <w:p w14:paraId="7E032CDE" w14:textId="5777CFFD" w:rsidR="00995093" w:rsidRPr="00AA1A58" w:rsidRDefault="00995093" w:rsidP="00AA1A58">
            <w:pPr>
              <w:pStyle w:val="Tabletext"/>
            </w:pPr>
            <w:r>
              <w:t>Mobile</w:t>
            </w:r>
          </w:p>
        </w:tc>
        <w:tc>
          <w:tcPr>
            <w:tcW w:w="872" w:type="pct"/>
          </w:tcPr>
          <w:p w14:paraId="5680000E" w14:textId="790024C4" w:rsidR="00995093"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r>
      <w:tr w:rsidR="00995093" w14:paraId="652A9FD9" w14:textId="0A1A5592" w:rsidTr="00995093">
        <w:trPr>
          <w:trHeight w:val="907"/>
        </w:trPr>
        <w:tc>
          <w:tcPr>
            <w:tcW w:w="1171" w:type="pct"/>
          </w:tcPr>
          <w:p w14:paraId="149102AD" w14:textId="77777777" w:rsidR="00995093" w:rsidRPr="00AA1A58" w:rsidRDefault="00995093" w:rsidP="00AA1A58">
            <w:pPr>
              <w:pStyle w:val="Tabletext"/>
            </w:pPr>
            <w:r w:rsidRPr="00AA1A58">
              <w:t>Signature</w:t>
            </w:r>
          </w:p>
        </w:tc>
        <w:sdt>
          <w:sdtPr>
            <w:alias w:val="Signature"/>
            <w:tag w:val="Signature"/>
            <w:id w:val="-1442293589"/>
            <w:showingPlcHdr/>
            <w:picture/>
          </w:sdtPr>
          <w:sdtContent>
            <w:tc>
              <w:tcPr>
                <w:tcW w:w="2392" w:type="pct"/>
              </w:tcPr>
              <w:p w14:paraId="1A20535C" w14:textId="77777777" w:rsidR="00995093" w:rsidRPr="00AA1A58" w:rsidRDefault="00995093" w:rsidP="00AA1A58">
                <w:pPr>
                  <w:pStyle w:val="Tabletext"/>
                </w:pPr>
                <w:r w:rsidRPr="00AA1A58">
                  <w:rPr>
                    <w:noProof/>
                  </w:rPr>
                  <w:drawing>
                    <wp:inline distT="0" distB="0" distL="0" distR="0" wp14:anchorId="3EA500E0" wp14:editId="132CE9D2">
                      <wp:extent cx="2504050" cy="446405"/>
                      <wp:effectExtent l="0" t="0" r="0" b="0"/>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064" cy="461739"/>
                              </a:xfrm>
                              <a:prstGeom prst="rect">
                                <a:avLst/>
                              </a:prstGeom>
                              <a:noFill/>
                              <a:ln>
                                <a:noFill/>
                              </a:ln>
                            </pic:spPr>
                          </pic:pic>
                        </a:graphicData>
                      </a:graphic>
                    </wp:inline>
                  </w:drawing>
                </w:r>
              </w:p>
            </w:tc>
          </w:sdtContent>
        </w:sdt>
        <w:tc>
          <w:tcPr>
            <w:tcW w:w="564" w:type="pct"/>
          </w:tcPr>
          <w:p w14:paraId="4D554DAA" w14:textId="5136AB6A" w:rsidR="00995093" w:rsidRPr="00AA1A58" w:rsidRDefault="00995093" w:rsidP="00AA1A58">
            <w:pPr>
              <w:pStyle w:val="Tabletext"/>
            </w:pPr>
            <w:r>
              <w:t>Date</w:t>
            </w:r>
          </w:p>
        </w:tc>
        <w:tc>
          <w:tcPr>
            <w:tcW w:w="872" w:type="pct"/>
          </w:tcPr>
          <w:p w14:paraId="2F5189D2" w14:textId="1BBECB2B" w:rsidR="00995093"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r>
    </w:tbl>
    <w:p w14:paraId="677FF758" w14:textId="77777777" w:rsidR="00AB1037" w:rsidRDefault="00AB1037" w:rsidP="00056801">
      <w:pPr>
        <w:pStyle w:val="Heading2NoLine"/>
      </w:pPr>
    </w:p>
    <w:p w14:paraId="584679CD" w14:textId="77777777" w:rsidR="00AB1037" w:rsidRDefault="00AB1037" w:rsidP="00AB1037">
      <w:pPr>
        <w:pStyle w:val="BodyText"/>
        <w:rPr>
          <w:color w:val="002664" w:themeColor="background2"/>
          <w:sz w:val="28"/>
        </w:rPr>
      </w:pPr>
      <w:r>
        <w:br w:type="page"/>
      </w:r>
    </w:p>
    <w:p w14:paraId="1B5C4E9F" w14:textId="3340CEB3" w:rsidR="00D603B9" w:rsidRDefault="00D603B9" w:rsidP="0080691F">
      <w:pPr>
        <w:pStyle w:val="Heading2"/>
      </w:pPr>
      <w:r>
        <w:lastRenderedPageBreak/>
        <w:t>Submitting the form</w:t>
      </w:r>
    </w:p>
    <w:p w14:paraId="3F40E1A9" w14:textId="77777777" w:rsidR="00D603B9" w:rsidRDefault="00D603B9" w:rsidP="00D603B9">
      <w:pPr>
        <w:pStyle w:val="BodyText"/>
      </w:pPr>
      <w:r>
        <w:t xml:space="preserve">Email this form to </w:t>
      </w:r>
      <w:hyperlink r:id="rId16" w:history="1">
        <w:r w:rsidRPr="003C0F4C">
          <w:rPr>
            <w:rStyle w:val="Hyperlink"/>
          </w:rPr>
          <w:t>cau@regional.nsw.gov.au</w:t>
        </w:r>
      </w:hyperlink>
      <w:r>
        <w:t xml:space="preserve"> (or other email address as applicable)</w:t>
      </w:r>
    </w:p>
    <w:p w14:paraId="0ED5B252" w14:textId="1591B16C" w:rsidR="00D603B9" w:rsidRDefault="00D603B9" w:rsidP="00D603B9">
      <w:pPr>
        <w:pStyle w:val="BodyText"/>
      </w:pPr>
      <w:r>
        <w:t>Mail: Central Assessment Unit,</w:t>
      </w:r>
      <w:r w:rsidR="001A3033">
        <w:t xml:space="preserve"> </w:t>
      </w:r>
      <w:r>
        <w:t>Resources Regulator, PO Box 344, HRMC, 2310.</w:t>
      </w:r>
    </w:p>
    <w:p w14:paraId="3726B1C1" w14:textId="7B72842D" w:rsidR="004D05AC" w:rsidRPr="004D05AC" w:rsidRDefault="004D05AC" w:rsidP="004D05AC">
      <w:pPr>
        <w:pStyle w:val="Footnote"/>
        <w:rPr>
          <w:color w:val="808080" w:themeColor="background1" w:themeShade="80"/>
          <w:szCs w:val="16"/>
        </w:rPr>
      </w:pPr>
      <w:r w:rsidRPr="004D05AC">
        <w:rPr>
          <w:color w:val="808080" w:themeColor="background1" w:themeShade="80"/>
          <w:szCs w:val="16"/>
        </w:rPr>
        <w:t xml:space="preserve">© State of New South Wales through the Department of Primary Industries and Regional Development </w:t>
      </w:r>
      <w:r>
        <w:rPr>
          <w:color w:val="808080" w:themeColor="background1" w:themeShade="80"/>
          <w:szCs w:val="16"/>
        </w:rPr>
        <w:t>202</w:t>
      </w:r>
      <w:r w:rsidR="00A27A33">
        <w:rPr>
          <w:color w:val="808080" w:themeColor="background1" w:themeShade="80"/>
          <w:szCs w:val="16"/>
        </w:rPr>
        <w:t>5</w:t>
      </w:r>
      <w:r w:rsidRPr="004D05AC">
        <w:rPr>
          <w:color w:val="808080" w:themeColor="background1" w:themeShade="80"/>
          <w:szCs w:val="16"/>
        </w:rPr>
        <w:t>. You may copy, distribute, display, download and otherwise freely deal with this publication for any purpose, provided that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77637C50" w14:textId="1C0E5963" w:rsidR="00FF61A2" w:rsidRPr="00A27A33" w:rsidRDefault="004D05AC" w:rsidP="00FF61A2">
      <w:pPr>
        <w:pStyle w:val="BodyText"/>
        <w:rPr>
          <w:color w:val="808080" w:themeColor="background1" w:themeShade="80"/>
          <w:sz w:val="16"/>
          <w:szCs w:val="16"/>
        </w:rPr>
      </w:pPr>
      <w:r w:rsidRPr="004D05AC">
        <w:rPr>
          <w:color w:val="808080" w:themeColor="background1" w:themeShade="80"/>
          <w:sz w:val="16"/>
          <w:szCs w:val="16"/>
        </w:rPr>
        <w:t>Disclaimer: The information contained in this publication is based on knowledge and understanding at the time of writing (</w:t>
      </w:r>
      <w:r w:rsidR="00A27A33">
        <w:rPr>
          <w:color w:val="808080" w:themeColor="background1" w:themeShade="80"/>
          <w:sz w:val="16"/>
          <w:szCs w:val="16"/>
        </w:rPr>
        <w:t>May 2025</w:t>
      </w:r>
      <w:r w:rsidRPr="004D05AC">
        <w:rPr>
          <w:color w:val="808080" w:themeColor="background1" w:themeShade="80"/>
          <w:sz w:val="16"/>
          <w:szCs w:val="16"/>
        </w:rPr>
        <w:t>)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sectPr w:rsidR="00FF61A2" w:rsidRPr="00A27A33" w:rsidSect="009F4CAD">
      <w:headerReference w:type="default" r:id="rId17"/>
      <w:footerReference w:type="default" r:id="rId18"/>
      <w:headerReference w:type="first" r:id="rId19"/>
      <w:footerReference w:type="first" r:id="rId20"/>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44CD5" w14:textId="77777777" w:rsidR="00920691" w:rsidRDefault="00920691" w:rsidP="00921FD3">
      <w:r>
        <w:separator/>
      </w:r>
    </w:p>
  </w:endnote>
  <w:endnote w:type="continuationSeparator" w:id="0">
    <w:p w14:paraId="1850A0B6" w14:textId="77777777" w:rsidR="00920691" w:rsidRDefault="0092069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84C0"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245EF371" wp14:editId="69ADF942">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84A0E"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7B29996" w14:textId="41433FF1" w:rsidR="00A77DD0" w:rsidRPr="0004413C" w:rsidRDefault="00F97D3F" w:rsidP="00E40F82">
    <w:pPr>
      <w:pStyle w:val="Footer"/>
    </w:pPr>
    <w:r>
      <w:t>MEG/DOC19/466480</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6450"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25A0D855" wp14:editId="26980BDF">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ED8F4"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C1D2E5A" w14:textId="3F87749F" w:rsidR="00A77DD0" w:rsidRPr="00271104" w:rsidRDefault="00F97D3F" w:rsidP="00271104">
    <w:pPr>
      <w:pStyle w:val="Footer"/>
    </w:pPr>
    <w:r>
      <w:t>MEG/DOC19/466480</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11E88" w14:textId="77777777" w:rsidR="00920691" w:rsidRDefault="00920691" w:rsidP="00921FD3">
      <w:r>
        <w:separator/>
      </w:r>
    </w:p>
  </w:footnote>
  <w:footnote w:type="continuationSeparator" w:id="0">
    <w:p w14:paraId="55D6320D" w14:textId="77777777" w:rsidR="00920691" w:rsidRDefault="00920691"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1514" w14:textId="5291891C" w:rsidR="00A77DD0" w:rsidRPr="00F97D3F" w:rsidRDefault="00000000" w:rsidP="00D603B9">
    <w:pPr>
      <w:pStyle w:val="Header"/>
      <w:rPr>
        <w:rFonts w:asciiTheme="minorHAnsi" w:hAnsiTheme="minorHAnsi"/>
        <w:color w:val="146CFD" w:themeColor="accent3"/>
        <w:sz w:val="18"/>
        <w:szCs w:val="18"/>
      </w:rPr>
    </w:pPr>
    <w:sdt>
      <w:sdtPr>
        <w:rPr>
          <w:rFonts w:asciiTheme="minorHAnsi" w:hAnsiTheme="minorHAnsi"/>
          <w:color w:val="146CFD" w:themeColor="accent3"/>
          <w:sz w:val="18"/>
          <w:szCs w:val="18"/>
        </w:rPr>
        <w:alias w:val="Document Title"/>
        <w:tag w:val="Document Title"/>
        <w:id w:val="16059501"/>
        <w:dataBinding w:xpath="/root[1]/DocTitle[1]" w:storeItemID="{180FEE2B-92DD-4DDF-8CD2-B2B446081537}"/>
        <w:text/>
      </w:sdtPr>
      <w:sdtContent>
        <w:r w:rsidR="00F97D3F" w:rsidRPr="00F97D3F">
          <w:rPr>
            <w:rFonts w:asciiTheme="minorHAnsi" w:hAnsiTheme="minorHAnsi"/>
            <w:color w:val="146CFD" w:themeColor="accent3"/>
            <w:sz w:val="18"/>
            <w:szCs w:val="18"/>
          </w:rPr>
          <w:t>Notification of other matters (including reportable events) for exploration only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00AF"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5240568E" wp14:editId="09456FEA">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64687"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114625C6" w14:textId="77777777" w:rsidR="00A77DD0" w:rsidRDefault="00A77DD0" w:rsidP="006D0D78">
    <w:pPr>
      <w:pStyle w:val="Descriptor"/>
    </w:pPr>
    <w:r>
      <w:rPr>
        <w:noProof/>
      </w:rPr>
      <mc:AlternateContent>
        <mc:Choice Requires="wps">
          <w:drawing>
            <wp:inline distT="0" distB="0" distL="0" distR="0" wp14:anchorId="47E30DD1" wp14:editId="6C95F26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C3F6E"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1AEA3B80" w14:textId="77777777" w:rsidR="00A77DD0" w:rsidRDefault="004D05AC"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7E30DD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320C3F6E"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1AEA3B80" w14:textId="77777777" w:rsidR="00A77DD0" w:rsidRDefault="004D05AC"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4F812D56" wp14:editId="29B526DE">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0687937">
    <w:abstractNumId w:val="14"/>
  </w:num>
  <w:num w:numId="2" w16cid:durableId="439908896">
    <w:abstractNumId w:val="15"/>
  </w:num>
  <w:num w:numId="3" w16cid:durableId="1564560561">
    <w:abstractNumId w:val="8"/>
  </w:num>
  <w:num w:numId="4" w16cid:durableId="430904800">
    <w:abstractNumId w:val="2"/>
  </w:num>
  <w:num w:numId="5" w16cid:durableId="149489938">
    <w:abstractNumId w:val="7"/>
  </w:num>
  <w:num w:numId="6" w16cid:durableId="740714815">
    <w:abstractNumId w:val="4"/>
  </w:num>
  <w:num w:numId="7" w16cid:durableId="625889567">
    <w:abstractNumId w:val="4"/>
    <w:lvlOverride w:ilvl="0">
      <w:startOverride w:val="1"/>
    </w:lvlOverride>
  </w:num>
  <w:num w:numId="8" w16cid:durableId="2013413205">
    <w:abstractNumId w:val="2"/>
    <w:lvlOverride w:ilvl="0">
      <w:startOverride w:val="1"/>
    </w:lvlOverride>
  </w:num>
  <w:num w:numId="9" w16cid:durableId="1518814354">
    <w:abstractNumId w:val="7"/>
    <w:lvlOverride w:ilvl="0">
      <w:startOverride w:val="1"/>
    </w:lvlOverride>
  </w:num>
  <w:num w:numId="10" w16cid:durableId="133988068">
    <w:abstractNumId w:val="14"/>
  </w:num>
  <w:num w:numId="11" w16cid:durableId="27997642">
    <w:abstractNumId w:val="4"/>
  </w:num>
  <w:num w:numId="12" w16cid:durableId="2141067068">
    <w:abstractNumId w:val="15"/>
  </w:num>
  <w:num w:numId="13" w16cid:durableId="420226917">
    <w:abstractNumId w:val="8"/>
  </w:num>
  <w:num w:numId="14" w16cid:durableId="1171024199">
    <w:abstractNumId w:val="2"/>
  </w:num>
  <w:num w:numId="15" w16cid:durableId="1190752186">
    <w:abstractNumId w:val="7"/>
  </w:num>
  <w:num w:numId="16" w16cid:durableId="1809472245">
    <w:abstractNumId w:val="15"/>
  </w:num>
  <w:num w:numId="17" w16cid:durableId="1657030549">
    <w:abstractNumId w:val="8"/>
  </w:num>
  <w:num w:numId="18" w16cid:durableId="1046173532">
    <w:abstractNumId w:val="14"/>
  </w:num>
  <w:num w:numId="19" w16cid:durableId="799112695">
    <w:abstractNumId w:val="2"/>
  </w:num>
  <w:num w:numId="20" w16cid:durableId="669914592">
    <w:abstractNumId w:val="7"/>
  </w:num>
  <w:num w:numId="21" w16cid:durableId="1959334942">
    <w:abstractNumId w:val="4"/>
  </w:num>
  <w:num w:numId="22" w16cid:durableId="1690525892">
    <w:abstractNumId w:val="14"/>
    <w:lvlOverride w:ilvl="0">
      <w:startOverride w:val="1"/>
    </w:lvlOverride>
  </w:num>
  <w:num w:numId="23" w16cid:durableId="1147623194">
    <w:abstractNumId w:val="15"/>
    <w:lvlOverride w:ilvl="0">
      <w:startOverride w:val="1"/>
    </w:lvlOverride>
  </w:num>
  <w:num w:numId="24" w16cid:durableId="566962688">
    <w:abstractNumId w:val="8"/>
    <w:lvlOverride w:ilvl="0">
      <w:startOverride w:val="1"/>
    </w:lvlOverride>
  </w:num>
  <w:num w:numId="25" w16cid:durableId="1255743145">
    <w:abstractNumId w:val="15"/>
  </w:num>
  <w:num w:numId="26" w16cid:durableId="1236090103">
    <w:abstractNumId w:val="8"/>
  </w:num>
  <w:num w:numId="27" w16cid:durableId="1162968645">
    <w:abstractNumId w:val="14"/>
  </w:num>
  <w:num w:numId="28" w16cid:durableId="131531515">
    <w:abstractNumId w:val="2"/>
  </w:num>
  <w:num w:numId="29" w16cid:durableId="71127834">
    <w:abstractNumId w:val="7"/>
  </w:num>
  <w:num w:numId="30" w16cid:durableId="1001933733">
    <w:abstractNumId w:val="4"/>
  </w:num>
  <w:num w:numId="31" w16cid:durableId="114754433">
    <w:abstractNumId w:val="14"/>
  </w:num>
  <w:num w:numId="32" w16cid:durableId="553350853">
    <w:abstractNumId w:val="4"/>
  </w:num>
  <w:num w:numId="33" w16cid:durableId="1441025774">
    <w:abstractNumId w:val="9"/>
  </w:num>
  <w:num w:numId="34" w16cid:durableId="507522019">
    <w:abstractNumId w:val="3"/>
  </w:num>
  <w:num w:numId="35" w16cid:durableId="525292186">
    <w:abstractNumId w:val="12"/>
  </w:num>
  <w:num w:numId="36" w16cid:durableId="615480825">
    <w:abstractNumId w:val="6"/>
  </w:num>
  <w:num w:numId="37" w16cid:durableId="900747533">
    <w:abstractNumId w:val="1"/>
  </w:num>
  <w:num w:numId="38" w16cid:durableId="1768187686">
    <w:abstractNumId w:val="0"/>
  </w:num>
  <w:num w:numId="39" w16cid:durableId="17303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21629">
    <w:abstractNumId w:val="13"/>
  </w:num>
  <w:num w:numId="41" w16cid:durableId="1163935382">
    <w:abstractNumId w:val="11"/>
  </w:num>
  <w:num w:numId="42" w16cid:durableId="109131536">
    <w:abstractNumId w:val="5"/>
  </w:num>
  <w:num w:numId="43" w16cid:durableId="785739897">
    <w:abstractNumId w:val="16"/>
  </w:num>
  <w:num w:numId="44" w16cid:durableId="129972545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VbqdJDvL4BS1RR5XKvRYxs8AMZxJj9g9CktZhLrY6uEad4DZ2R2E8/7crfCEWAhWWE3S/vw/ycuWbE/t//HrBg==" w:salt="uFX7DRQLGwQ3KtnZ1Uk0y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E0"/>
    <w:rsid w:val="000002BD"/>
    <w:rsid w:val="00002C93"/>
    <w:rsid w:val="00003583"/>
    <w:rsid w:val="00003709"/>
    <w:rsid w:val="00005754"/>
    <w:rsid w:val="00005C44"/>
    <w:rsid w:val="000100A3"/>
    <w:rsid w:val="00020713"/>
    <w:rsid w:val="00021A2F"/>
    <w:rsid w:val="00030C2E"/>
    <w:rsid w:val="000319D3"/>
    <w:rsid w:val="000330D7"/>
    <w:rsid w:val="000369F8"/>
    <w:rsid w:val="00043E03"/>
    <w:rsid w:val="0004413C"/>
    <w:rsid w:val="00046ACD"/>
    <w:rsid w:val="0005359F"/>
    <w:rsid w:val="00053DB3"/>
    <w:rsid w:val="000550F2"/>
    <w:rsid w:val="00056801"/>
    <w:rsid w:val="00072660"/>
    <w:rsid w:val="00072B2F"/>
    <w:rsid w:val="000732DF"/>
    <w:rsid w:val="0008073E"/>
    <w:rsid w:val="000926DF"/>
    <w:rsid w:val="000961F5"/>
    <w:rsid w:val="000A0A02"/>
    <w:rsid w:val="000A381D"/>
    <w:rsid w:val="000B7F4B"/>
    <w:rsid w:val="000B7F5F"/>
    <w:rsid w:val="000D360F"/>
    <w:rsid w:val="000D5CAC"/>
    <w:rsid w:val="000D6B77"/>
    <w:rsid w:val="000E0434"/>
    <w:rsid w:val="000E457A"/>
    <w:rsid w:val="000E7003"/>
    <w:rsid w:val="000F5095"/>
    <w:rsid w:val="000F66BF"/>
    <w:rsid w:val="00101C8F"/>
    <w:rsid w:val="001023FE"/>
    <w:rsid w:val="0010613F"/>
    <w:rsid w:val="001106A0"/>
    <w:rsid w:val="00111713"/>
    <w:rsid w:val="00111775"/>
    <w:rsid w:val="00112980"/>
    <w:rsid w:val="00112A90"/>
    <w:rsid w:val="00114A73"/>
    <w:rsid w:val="00115E22"/>
    <w:rsid w:val="00116CED"/>
    <w:rsid w:val="0011767C"/>
    <w:rsid w:val="00123AF1"/>
    <w:rsid w:val="00127421"/>
    <w:rsid w:val="00131292"/>
    <w:rsid w:val="0013204F"/>
    <w:rsid w:val="00132C9F"/>
    <w:rsid w:val="0013421B"/>
    <w:rsid w:val="0014092D"/>
    <w:rsid w:val="0014157C"/>
    <w:rsid w:val="001419CE"/>
    <w:rsid w:val="001476EF"/>
    <w:rsid w:val="00150CAE"/>
    <w:rsid w:val="001728CA"/>
    <w:rsid w:val="00174347"/>
    <w:rsid w:val="00193A8E"/>
    <w:rsid w:val="001A3033"/>
    <w:rsid w:val="001A628B"/>
    <w:rsid w:val="001A654A"/>
    <w:rsid w:val="001B0562"/>
    <w:rsid w:val="001C27DF"/>
    <w:rsid w:val="001C6F7B"/>
    <w:rsid w:val="001D4524"/>
    <w:rsid w:val="001D4C98"/>
    <w:rsid w:val="001D754D"/>
    <w:rsid w:val="001E04AA"/>
    <w:rsid w:val="001E0611"/>
    <w:rsid w:val="001E0762"/>
    <w:rsid w:val="001E1988"/>
    <w:rsid w:val="001E6800"/>
    <w:rsid w:val="001F010F"/>
    <w:rsid w:val="001F74B5"/>
    <w:rsid w:val="00211C7E"/>
    <w:rsid w:val="00216B6C"/>
    <w:rsid w:val="00216D02"/>
    <w:rsid w:val="00224DDA"/>
    <w:rsid w:val="00230C76"/>
    <w:rsid w:val="0023243B"/>
    <w:rsid w:val="00233115"/>
    <w:rsid w:val="00233579"/>
    <w:rsid w:val="002364FB"/>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2E3E2F"/>
    <w:rsid w:val="002E7EF9"/>
    <w:rsid w:val="002F05EB"/>
    <w:rsid w:val="002F31F2"/>
    <w:rsid w:val="00305D59"/>
    <w:rsid w:val="00305D69"/>
    <w:rsid w:val="00320A84"/>
    <w:rsid w:val="00340CA0"/>
    <w:rsid w:val="00345D83"/>
    <w:rsid w:val="00353985"/>
    <w:rsid w:val="0036379C"/>
    <w:rsid w:val="00364F93"/>
    <w:rsid w:val="00374C56"/>
    <w:rsid w:val="0038087D"/>
    <w:rsid w:val="00394652"/>
    <w:rsid w:val="003A0E8F"/>
    <w:rsid w:val="003A1764"/>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45E27"/>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05AC"/>
    <w:rsid w:val="004D4D99"/>
    <w:rsid w:val="004D5467"/>
    <w:rsid w:val="004E5C7D"/>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5625A"/>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5A6"/>
    <w:rsid w:val="005D66AB"/>
    <w:rsid w:val="005E5EC0"/>
    <w:rsid w:val="005F1786"/>
    <w:rsid w:val="005F252B"/>
    <w:rsid w:val="005F36D7"/>
    <w:rsid w:val="005F4E21"/>
    <w:rsid w:val="00604A6E"/>
    <w:rsid w:val="0060797A"/>
    <w:rsid w:val="00630F42"/>
    <w:rsid w:val="0063593D"/>
    <w:rsid w:val="006520C0"/>
    <w:rsid w:val="00676178"/>
    <w:rsid w:val="0067638B"/>
    <w:rsid w:val="00683C09"/>
    <w:rsid w:val="006902D1"/>
    <w:rsid w:val="006A288E"/>
    <w:rsid w:val="006A53BA"/>
    <w:rsid w:val="006B68F4"/>
    <w:rsid w:val="006C4799"/>
    <w:rsid w:val="006C5EDD"/>
    <w:rsid w:val="006D0D78"/>
    <w:rsid w:val="006E1E3B"/>
    <w:rsid w:val="006E4A18"/>
    <w:rsid w:val="006E5998"/>
    <w:rsid w:val="006E6382"/>
    <w:rsid w:val="006E76C9"/>
    <w:rsid w:val="006E79DB"/>
    <w:rsid w:val="006F17A1"/>
    <w:rsid w:val="006F1D9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E7AB8"/>
    <w:rsid w:val="007F4FFE"/>
    <w:rsid w:val="007F5D9C"/>
    <w:rsid w:val="00802606"/>
    <w:rsid w:val="008040E8"/>
    <w:rsid w:val="0080691F"/>
    <w:rsid w:val="0080785F"/>
    <w:rsid w:val="00814BD2"/>
    <w:rsid w:val="00820B9D"/>
    <w:rsid w:val="008274FF"/>
    <w:rsid w:val="008319CA"/>
    <w:rsid w:val="00836418"/>
    <w:rsid w:val="00836F7C"/>
    <w:rsid w:val="00841E86"/>
    <w:rsid w:val="0084309C"/>
    <w:rsid w:val="008433D6"/>
    <w:rsid w:val="00843A4A"/>
    <w:rsid w:val="00852196"/>
    <w:rsid w:val="00864B67"/>
    <w:rsid w:val="008862F5"/>
    <w:rsid w:val="00894241"/>
    <w:rsid w:val="0089425F"/>
    <w:rsid w:val="008A6CA5"/>
    <w:rsid w:val="008B0346"/>
    <w:rsid w:val="008B4255"/>
    <w:rsid w:val="008C2835"/>
    <w:rsid w:val="008C398D"/>
    <w:rsid w:val="008D3B5E"/>
    <w:rsid w:val="008D5F35"/>
    <w:rsid w:val="008E1BEC"/>
    <w:rsid w:val="008E262F"/>
    <w:rsid w:val="008E4505"/>
    <w:rsid w:val="008E4E60"/>
    <w:rsid w:val="008E6974"/>
    <w:rsid w:val="008F4730"/>
    <w:rsid w:val="008F671A"/>
    <w:rsid w:val="009022C6"/>
    <w:rsid w:val="00905970"/>
    <w:rsid w:val="0091046A"/>
    <w:rsid w:val="00920691"/>
    <w:rsid w:val="00921FD3"/>
    <w:rsid w:val="009220D7"/>
    <w:rsid w:val="00934B90"/>
    <w:rsid w:val="00940A26"/>
    <w:rsid w:val="00942939"/>
    <w:rsid w:val="00946C9F"/>
    <w:rsid w:val="00947684"/>
    <w:rsid w:val="00951F3C"/>
    <w:rsid w:val="00957247"/>
    <w:rsid w:val="00957BDD"/>
    <w:rsid w:val="00960C28"/>
    <w:rsid w:val="009651C1"/>
    <w:rsid w:val="00966A53"/>
    <w:rsid w:val="00966FD8"/>
    <w:rsid w:val="00975767"/>
    <w:rsid w:val="00983DB2"/>
    <w:rsid w:val="00986B43"/>
    <w:rsid w:val="00993216"/>
    <w:rsid w:val="00994AF2"/>
    <w:rsid w:val="00995093"/>
    <w:rsid w:val="009977D9"/>
    <w:rsid w:val="009A21CF"/>
    <w:rsid w:val="009A31A2"/>
    <w:rsid w:val="009B0C2F"/>
    <w:rsid w:val="009B30B2"/>
    <w:rsid w:val="009C70D9"/>
    <w:rsid w:val="009E6423"/>
    <w:rsid w:val="009E7376"/>
    <w:rsid w:val="009F4CAD"/>
    <w:rsid w:val="009F655A"/>
    <w:rsid w:val="00A0068E"/>
    <w:rsid w:val="00A00CBC"/>
    <w:rsid w:val="00A0356E"/>
    <w:rsid w:val="00A0502B"/>
    <w:rsid w:val="00A05561"/>
    <w:rsid w:val="00A0754B"/>
    <w:rsid w:val="00A1127E"/>
    <w:rsid w:val="00A161D6"/>
    <w:rsid w:val="00A20D01"/>
    <w:rsid w:val="00A21F8F"/>
    <w:rsid w:val="00A263B1"/>
    <w:rsid w:val="00A27A33"/>
    <w:rsid w:val="00A3116A"/>
    <w:rsid w:val="00A35389"/>
    <w:rsid w:val="00A47B2F"/>
    <w:rsid w:val="00A52060"/>
    <w:rsid w:val="00A65014"/>
    <w:rsid w:val="00A77DD0"/>
    <w:rsid w:val="00A91604"/>
    <w:rsid w:val="00A9464A"/>
    <w:rsid w:val="00A968C2"/>
    <w:rsid w:val="00A96CAA"/>
    <w:rsid w:val="00AA187A"/>
    <w:rsid w:val="00AA1A58"/>
    <w:rsid w:val="00AA591D"/>
    <w:rsid w:val="00AB1037"/>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38E0"/>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07E8"/>
    <w:rsid w:val="00BF401A"/>
    <w:rsid w:val="00C12988"/>
    <w:rsid w:val="00C1506D"/>
    <w:rsid w:val="00C20561"/>
    <w:rsid w:val="00C22186"/>
    <w:rsid w:val="00C27794"/>
    <w:rsid w:val="00C31BE6"/>
    <w:rsid w:val="00C31C00"/>
    <w:rsid w:val="00C36AA2"/>
    <w:rsid w:val="00C44800"/>
    <w:rsid w:val="00C509DC"/>
    <w:rsid w:val="00C515B8"/>
    <w:rsid w:val="00C53C5C"/>
    <w:rsid w:val="00C53E45"/>
    <w:rsid w:val="00C572B1"/>
    <w:rsid w:val="00C61392"/>
    <w:rsid w:val="00C62FCD"/>
    <w:rsid w:val="00C64005"/>
    <w:rsid w:val="00C649CD"/>
    <w:rsid w:val="00C75429"/>
    <w:rsid w:val="00C83CF1"/>
    <w:rsid w:val="00C854AC"/>
    <w:rsid w:val="00C948CF"/>
    <w:rsid w:val="00C94BC0"/>
    <w:rsid w:val="00CA0DAF"/>
    <w:rsid w:val="00CA1B37"/>
    <w:rsid w:val="00CA23DA"/>
    <w:rsid w:val="00CA4083"/>
    <w:rsid w:val="00CA48B2"/>
    <w:rsid w:val="00CA74B5"/>
    <w:rsid w:val="00CB2D3A"/>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506F"/>
    <w:rsid w:val="00DA6759"/>
    <w:rsid w:val="00DB30BF"/>
    <w:rsid w:val="00DB4E4E"/>
    <w:rsid w:val="00DB7506"/>
    <w:rsid w:val="00DB7BED"/>
    <w:rsid w:val="00DC1809"/>
    <w:rsid w:val="00DD3473"/>
    <w:rsid w:val="00DD42E2"/>
    <w:rsid w:val="00DD502A"/>
    <w:rsid w:val="00DE37DE"/>
    <w:rsid w:val="00DE5CC1"/>
    <w:rsid w:val="00DF1F92"/>
    <w:rsid w:val="00DF2AD3"/>
    <w:rsid w:val="00DF363C"/>
    <w:rsid w:val="00DF4166"/>
    <w:rsid w:val="00E03D68"/>
    <w:rsid w:val="00E171AE"/>
    <w:rsid w:val="00E40F82"/>
    <w:rsid w:val="00E42E26"/>
    <w:rsid w:val="00E56242"/>
    <w:rsid w:val="00E91082"/>
    <w:rsid w:val="00E95449"/>
    <w:rsid w:val="00E97EB0"/>
    <w:rsid w:val="00EA016D"/>
    <w:rsid w:val="00EB3745"/>
    <w:rsid w:val="00EC72BA"/>
    <w:rsid w:val="00ED1F26"/>
    <w:rsid w:val="00ED7794"/>
    <w:rsid w:val="00EE23A3"/>
    <w:rsid w:val="00EE3191"/>
    <w:rsid w:val="00EE5639"/>
    <w:rsid w:val="00EF1C2A"/>
    <w:rsid w:val="00EF66A8"/>
    <w:rsid w:val="00F03C85"/>
    <w:rsid w:val="00F2157A"/>
    <w:rsid w:val="00F245B4"/>
    <w:rsid w:val="00F26E39"/>
    <w:rsid w:val="00F31DA7"/>
    <w:rsid w:val="00F3338E"/>
    <w:rsid w:val="00F33644"/>
    <w:rsid w:val="00F35372"/>
    <w:rsid w:val="00F513A2"/>
    <w:rsid w:val="00F531C6"/>
    <w:rsid w:val="00F5504A"/>
    <w:rsid w:val="00F665FD"/>
    <w:rsid w:val="00F836DA"/>
    <w:rsid w:val="00F84060"/>
    <w:rsid w:val="00F94D7E"/>
    <w:rsid w:val="00F96F4C"/>
    <w:rsid w:val="00F97D3F"/>
    <w:rsid w:val="00FA0FC5"/>
    <w:rsid w:val="00FA2262"/>
    <w:rsid w:val="00FA2FDD"/>
    <w:rsid w:val="00FB0EA4"/>
    <w:rsid w:val="00FB1BDB"/>
    <w:rsid w:val="00FC098D"/>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57257"/>
  <w15:chartTrackingRefBased/>
  <w15:docId w15:val="{4F26AC2E-A687-4A75-9E22-66DE7BC4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3116A"/>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0D360F"/>
    <w:pPr>
      <w:keepLines/>
      <w:suppressAutoHyphens/>
      <w:spacing w:before="120" w:after="120" w:line="260" w:lineRule="exact"/>
      <w:ind w:right="1588"/>
      <w:outlineLvl w:val="5"/>
    </w:pPr>
    <w:rPr>
      <w:rFonts w:asciiTheme="majorHAnsi" w:eastAsiaTheme="majorEastAsia" w:hAnsiTheme="majorHAnsi" w:cstheme="majorBidi"/>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0D360F"/>
    <w:rPr>
      <w:rFonts w:asciiTheme="majorHAnsi" w:eastAsiaTheme="majorEastAsia" w:hAnsiTheme="majorHAnsi" w:cstheme="majorBidi"/>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056801"/>
    <w:pPr>
      <w:pBdr>
        <w:top w:val="none" w:sz="0" w:space="0" w:color="auto"/>
      </w:pBdr>
      <w:spacing w:before="120" w:after="120"/>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AA1A5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AA1A58"/>
    <w:pPr>
      <w:tabs>
        <w:tab w:val="left" w:pos="709"/>
      </w:tabs>
      <w:suppressAutoHyphens w:val="0"/>
      <w:spacing w:before="40" w:after="80"/>
    </w:pPr>
    <w:rPr>
      <w:rFonts w:asciiTheme="minorHAnsi" w:hAnsiTheme="minorHAnsi" w:cs="Times New Roman"/>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F0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u@regional.nsw.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wresourcesregulator.service-now.com/regulator"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al\AppData\Local\Micro%20Focus\Content%20Manager\TEMP\HPTRIM.23940\RDOC22%20186939%20%20RR%20Forms%20July%202024(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0D4BF1751A455AA36DF36CA2BA2AD3"/>
        <w:category>
          <w:name w:val="General"/>
          <w:gallery w:val="placeholder"/>
        </w:category>
        <w:types>
          <w:type w:val="bbPlcHdr"/>
        </w:types>
        <w:behaviors>
          <w:behavior w:val="content"/>
        </w:behaviors>
        <w:guid w:val="{2FDDB45E-B4EF-4942-8193-ABF845D13608}"/>
      </w:docPartPr>
      <w:docPartBody>
        <w:p w:rsidR="002744ED" w:rsidRDefault="002744ED">
          <w:pPr>
            <w:pStyle w:val="6B0D4BF1751A455AA36DF36CA2BA2AD3"/>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ED"/>
    <w:rsid w:val="000550F2"/>
    <w:rsid w:val="000B7F5F"/>
    <w:rsid w:val="00123AF1"/>
    <w:rsid w:val="002744ED"/>
    <w:rsid w:val="002D2454"/>
    <w:rsid w:val="002F05EB"/>
    <w:rsid w:val="004707C6"/>
    <w:rsid w:val="00680CB7"/>
    <w:rsid w:val="007E0B3F"/>
    <w:rsid w:val="009C2780"/>
    <w:rsid w:val="00C53E45"/>
    <w:rsid w:val="00CC0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0D4BF1751A455AA36DF36CA2BA2AD3">
    <w:name w:val="6B0D4BF1751A455AA36DF36CA2BA2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docProps/app.xml><?xml version="1.0" encoding="utf-8"?>
<Properties xmlns="http://schemas.openxmlformats.org/officeDocument/2006/extended-properties" xmlns:vt="http://schemas.openxmlformats.org/officeDocument/2006/docPropsVTypes">
  <Template>RDOC22 186939  RR Forms July 2024(2).DOTX</Template>
  <TotalTime>182</TotalTime>
  <Pages>6</Pages>
  <Words>1177</Words>
  <Characters>6311</Characters>
  <Application>Microsoft Office Word</Application>
  <DocSecurity>0</DocSecurity>
  <Lines>788</Lines>
  <Paragraphs>116</Paragraphs>
  <ScaleCrop>false</ScaleCrop>
  <HeadingPairs>
    <vt:vector size="2" baseType="variant">
      <vt:variant>
        <vt:lpstr>Title</vt:lpstr>
      </vt:variant>
      <vt:variant>
        <vt:i4>1</vt:i4>
      </vt:variant>
    </vt:vector>
  </HeadingPairs>
  <TitlesOfParts>
    <vt:vector size="1" baseType="lpstr">
      <vt:lpstr>Notification of other matters (including reportable events) for exploration only</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other matters (including reportable events) for exploration only</dc:title>
  <dc:subject/>
  <dc:creator>Louise Manca</dc:creator>
  <cp:keywords>mines, mining, NSW Resources Regulator, mine safety, NSW mine safety, compliance, enforcement</cp:keywords>
  <dc:description/>
  <cp:lastModifiedBy>Abbey Lindgren</cp:lastModifiedBy>
  <cp:revision>28</cp:revision>
  <cp:lastPrinted>2022-03-23T11:08:00Z</cp:lastPrinted>
  <dcterms:created xsi:type="dcterms:W3CDTF">2024-07-11T23:11:00Z</dcterms:created>
  <dcterms:modified xsi:type="dcterms:W3CDTF">2025-05-20T05:47:00Z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